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A1DA" w14:textId="2727189F" w:rsidR="003B08FC" w:rsidRDefault="003B08FC" w:rsidP="008632D8">
      <w:pPr>
        <w:pStyle w:val="NoSpacing"/>
      </w:pPr>
    </w:p>
    <w:p w14:paraId="6D19B3EB" w14:textId="77777777" w:rsidR="008632D8" w:rsidRDefault="008632D8" w:rsidP="003B08FC">
      <w:pPr>
        <w:spacing w:after="0"/>
        <w:jc w:val="center"/>
        <w:rPr>
          <w:rFonts w:ascii="Arial" w:hAnsi="Arial" w:cs="Arial"/>
          <w:b/>
          <w:color w:val="000000"/>
        </w:rPr>
      </w:pPr>
    </w:p>
    <w:p w14:paraId="5BAA5703" w14:textId="332E976B" w:rsidR="003B08FC" w:rsidRPr="008632D8" w:rsidRDefault="000F2590" w:rsidP="003B08FC">
      <w:pPr>
        <w:spacing w:after="0"/>
        <w:jc w:val="center"/>
        <w:rPr>
          <w:rFonts w:ascii="Arial" w:hAnsi="Arial" w:cs="Arial"/>
          <w:b/>
          <w:color w:val="0070C0"/>
          <w:sz w:val="24"/>
          <w:szCs w:val="24"/>
        </w:rPr>
      </w:pPr>
      <w:r w:rsidRPr="008632D8">
        <w:rPr>
          <w:rFonts w:ascii="Arial" w:hAnsi="Arial" w:cs="Arial"/>
          <w:b/>
          <w:color w:val="000000"/>
          <w:sz w:val="24"/>
          <w:szCs w:val="24"/>
        </w:rPr>
        <w:t xml:space="preserve">GEOGRAPHICAL SUPPLEMENT </w:t>
      </w:r>
      <w:r w:rsidR="003B08FC" w:rsidRPr="008632D8">
        <w:rPr>
          <w:rFonts w:ascii="Arial" w:hAnsi="Arial" w:cs="Arial"/>
          <w:b/>
          <w:color w:val="000000"/>
          <w:sz w:val="24"/>
          <w:szCs w:val="24"/>
        </w:rPr>
        <w:t>PAY CLAIM FOR</w:t>
      </w:r>
      <w:r w:rsidRPr="008632D8">
        <w:rPr>
          <w:rFonts w:ascii="Arial" w:hAnsi="Arial" w:cs="Arial"/>
          <w:b/>
          <w:color w:val="000000"/>
          <w:sz w:val="24"/>
          <w:szCs w:val="24"/>
        </w:rPr>
        <w:t xml:space="preserve"> 2023</w:t>
      </w:r>
      <w:r w:rsidR="003B08FC" w:rsidRPr="008632D8">
        <w:rPr>
          <w:rFonts w:ascii="Arial" w:hAnsi="Arial" w:cs="Arial"/>
          <w:b/>
          <w:color w:val="0070C0"/>
          <w:sz w:val="24"/>
          <w:szCs w:val="24"/>
        </w:rPr>
        <w:t xml:space="preserve"> </w:t>
      </w:r>
    </w:p>
    <w:p w14:paraId="234A1223" w14:textId="77777777" w:rsidR="008632D8" w:rsidRPr="008632D8" w:rsidRDefault="003B08FC" w:rsidP="003B08FC">
      <w:pPr>
        <w:spacing w:after="0"/>
        <w:jc w:val="center"/>
        <w:rPr>
          <w:rFonts w:ascii="Arial" w:hAnsi="Arial" w:cs="Arial"/>
          <w:b/>
          <w:color w:val="000000"/>
          <w:sz w:val="24"/>
          <w:szCs w:val="24"/>
        </w:rPr>
      </w:pPr>
      <w:r w:rsidRPr="008632D8">
        <w:rPr>
          <w:rFonts w:ascii="Arial" w:hAnsi="Arial" w:cs="Arial"/>
          <w:b/>
          <w:color w:val="000000"/>
          <w:sz w:val="24"/>
          <w:szCs w:val="24"/>
        </w:rPr>
        <w:t xml:space="preserve">SUBMITTED BY </w:t>
      </w:r>
      <w:r w:rsidR="008816BA" w:rsidRPr="008632D8">
        <w:rPr>
          <w:rFonts w:ascii="Arial" w:hAnsi="Arial" w:cs="Arial"/>
          <w:b/>
          <w:color w:val="000000"/>
          <w:sz w:val="24"/>
          <w:szCs w:val="24"/>
        </w:rPr>
        <w:t xml:space="preserve">NAPO, </w:t>
      </w:r>
      <w:r w:rsidRPr="008632D8">
        <w:rPr>
          <w:rFonts w:ascii="Arial" w:hAnsi="Arial" w:cs="Arial"/>
          <w:b/>
          <w:color w:val="000000"/>
          <w:sz w:val="24"/>
          <w:szCs w:val="24"/>
        </w:rPr>
        <w:t>UNISON</w:t>
      </w:r>
      <w:r w:rsidR="008816BA" w:rsidRPr="008632D8">
        <w:rPr>
          <w:rFonts w:ascii="Arial" w:hAnsi="Arial" w:cs="Arial"/>
          <w:b/>
          <w:color w:val="000000"/>
          <w:sz w:val="24"/>
          <w:szCs w:val="24"/>
        </w:rPr>
        <w:t xml:space="preserve"> and GMB-SCOOP</w:t>
      </w:r>
      <w:r w:rsidRPr="008632D8">
        <w:rPr>
          <w:rFonts w:ascii="Arial" w:hAnsi="Arial" w:cs="Arial"/>
          <w:b/>
          <w:color w:val="000000"/>
          <w:sz w:val="24"/>
          <w:szCs w:val="24"/>
        </w:rPr>
        <w:t xml:space="preserve"> </w:t>
      </w:r>
    </w:p>
    <w:p w14:paraId="30D90693" w14:textId="25ED7FBC" w:rsidR="003B08FC" w:rsidRPr="008632D8" w:rsidRDefault="003B08FC" w:rsidP="003B08FC">
      <w:pPr>
        <w:spacing w:after="0"/>
        <w:jc w:val="center"/>
        <w:rPr>
          <w:rFonts w:ascii="Arial" w:hAnsi="Arial" w:cs="Arial"/>
          <w:b/>
          <w:color w:val="000000"/>
          <w:sz w:val="24"/>
          <w:szCs w:val="24"/>
        </w:rPr>
      </w:pPr>
      <w:r w:rsidRPr="008632D8">
        <w:rPr>
          <w:rFonts w:ascii="Arial" w:hAnsi="Arial" w:cs="Arial"/>
          <w:b/>
          <w:color w:val="000000"/>
          <w:sz w:val="24"/>
          <w:szCs w:val="24"/>
        </w:rPr>
        <w:t xml:space="preserve">TO </w:t>
      </w:r>
      <w:r w:rsidR="000F2590" w:rsidRPr="008632D8">
        <w:rPr>
          <w:rFonts w:ascii="Arial" w:hAnsi="Arial" w:cs="Arial"/>
          <w:b/>
          <w:color w:val="000000"/>
          <w:sz w:val="24"/>
          <w:szCs w:val="24"/>
        </w:rPr>
        <w:t>THE PROBATION SERVICE</w:t>
      </w:r>
    </w:p>
    <w:p w14:paraId="10DE123E" w14:textId="0E183330" w:rsidR="003B08FC" w:rsidRDefault="003B08FC" w:rsidP="003B08FC">
      <w:pPr>
        <w:spacing w:before="120" w:after="0"/>
        <w:rPr>
          <w:rFonts w:ascii="Arial" w:hAnsi="Arial" w:cs="Arial"/>
        </w:rPr>
      </w:pPr>
    </w:p>
    <w:p w14:paraId="326E8A06" w14:textId="77777777" w:rsidR="003B08FC" w:rsidRPr="0095316B" w:rsidRDefault="003B08FC" w:rsidP="003B08FC">
      <w:pPr>
        <w:spacing w:after="0"/>
        <w:rPr>
          <w:rFonts w:ascii="Arial" w:hAnsi="Arial" w:cs="Arial"/>
        </w:rPr>
      </w:pPr>
      <w:r>
        <w:rPr>
          <w:rFonts w:ascii="Arial" w:hAnsi="Arial" w:cs="Arial"/>
          <w:b/>
        </w:rPr>
        <w:t xml:space="preserve">1.   </w:t>
      </w:r>
      <w:r w:rsidRPr="0095316B">
        <w:rPr>
          <w:rFonts w:ascii="Arial" w:hAnsi="Arial" w:cs="Arial"/>
          <w:b/>
        </w:rPr>
        <w:t>INTRODUCTION</w:t>
      </w:r>
    </w:p>
    <w:p w14:paraId="152D61D6" w14:textId="3708E66D" w:rsidR="000F2590" w:rsidRDefault="003B08FC" w:rsidP="003B08FC">
      <w:pPr>
        <w:spacing w:before="120" w:after="0"/>
        <w:rPr>
          <w:rFonts w:ascii="Arial" w:hAnsi="Arial" w:cs="Arial"/>
        </w:rPr>
      </w:pPr>
      <w:r w:rsidRPr="0095316B">
        <w:rPr>
          <w:rFonts w:ascii="Arial" w:hAnsi="Arial" w:cs="Arial"/>
        </w:rPr>
        <w:t xml:space="preserve">This pay claim is submitted by </w:t>
      </w:r>
      <w:r w:rsidR="008816BA">
        <w:rPr>
          <w:rFonts w:ascii="Arial" w:hAnsi="Arial" w:cs="Arial"/>
        </w:rPr>
        <w:t xml:space="preserve">NAPO, </w:t>
      </w:r>
      <w:r w:rsidRPr="0095316B">
        <w:rPr>
          <w:rFonts w:ascii="Arial" w:hAnsi="Arial" w:cs="Arial"/>
        </w:rPr>
        <w:t xml:space="preserve">UNISON </w:t>
      </w:r>
      <w:r w:rsidR="008816BA">
        <w:rPr>
          <w:rFonts w:ascii="Arial" w:hAnsi="Arial" w:cs="Arial"/>
        </w:rPr>
        <w:t xml:space="preserve">and GMB-SCOOP </w:t>
      </w:r>
      <w:r w:rsidRPr="0095316B">
        <w:rPr>
          <w:rFonts w:ascii="Arial" w:hAnsi="Arial" w:cs="Arial"/>
        </w:rPr>
        <w:t xml:space="preserve">on behalf of staff working for </w:t>
      </w:r>
      <w:r w:rsidR="000F2590">
        <w:rPr>
          <w:rFonts w:ascii="Arial" w:hAnsi="Arial" w:cs="Arial"/>
        </w:rPr>
        <w:t>The Probation Service in the following geographical areas: Kent, Buckinghamshire</w:t>
      </w:r>
      <w:r w:rsidR="00157849">
        <w:rPr>
          <w:rFonts w:ascii="Arial" w:hAnsi="Arial" w:cs="Arial"/>
        </w:rPr>
        <w:t xml:space="preserve"> (including Milton Keynes)</w:t>
      </w:r>
      <w:r w:rsidR="000F2590">
        <w:rPr>
          <w:rFonts w:ascii="Arial" w:hAnsi="Arial" w:cs="Arial"/>
        </w:rPr>
        <w:t>, Oxfordshire, Berkshire,</w:t>
      </w:r>
      <w:r w:rsidR="00C413BF">
        <w:rPr>
          <w:rFonts w:ascii="Arial" w:hAnsi="Arial" w:cs="Arial"/>
        </w:rPr>
        <w:t xml:space="preserve"> Essex,</w:t>
      </w:r>
      <w:r w:rsidR="00952A4F">
        <w:rPr>
          <w:rFonts w:ascii="Arial" w:hAnsi="Arial" w:cs="Arial"/>
        </w:rPr>
        <w:t xml:space="preserve"> Hampshire</w:t>
      </w:r>
      <w:r w:rsidR="00760CA4">
        <w:rPr>
          <w:rFonts w:ascii="Arial" w:hAnsi="Arial" w:cs="Arial"/>
        </w:rPr>
        <w:t xml:space="preserve"> </w:t>
      </w:r>
      <w:r w:rsidR="00952A4F">
        <w:rPr>
          <w:rFonts w:ascii="Arial" w:hAnsi="Arial" w:cs="Arial"/>
        </w:rPr>
        <w:t>/</w:t>
      </w:r>
      <w:r w:rsidR="00760CA4">
        <w:rPr>
          <w:rFonts w:ascii="Arial" w:hAnsi="Arial" w:cs="Arial"/>
        </w:rPr>
        <w:t xml:space="preserve"> </w:t>
      </w:r>
      <w:r w:rsidR="00952A4F">
        <w:rPr>
          <w:rFonts w:ascii="Arial" w:hAnsi="Arial" w:cs="Arial"/>
        </w:rPr>
        <w:t>Isle of Wight</w:t>
      </w:r>
      <w:r w:rsidR="00722DE0">
        <w:rPr>
          <w:rFonts w:ascii="Arial" w:hAnsi="Arial" w:cs="Arial"/>
        </w:rPr>
        <w:t>,</w:t>
      </w:r>
      <w:r w:rsidR="000F2590">
        <w:rPr>
          <w:rFonts w:ascii="Arial" w:hAnsi="Arial" w:cs="Arial"/>
        </w:rPr>
        <w:t xml:space="preserve"> Norfolk, Suffolk,</w:t>
      </w:r>
      <w:r w:rsidR="003B7800">
        <w:rPr>
          <w:rFonts w:ascii="Arial" w:hAnsi="Arial" w:cs="Arial"/>
        </w:rPr>
        <w:t xml:space="preserve"> Surrey, Sussex,</w:t>
      </w:r>
      <w:r w:rsidR="000F2590">
        <w:rPr>
          <w:rFonts w:ascii="Arial" w:hAnsi="Arial" w:cs="Arial"/>
        </w:rPr>
        <w:t xml:space="preserve"> Hertfordshire</w:t>
      </w:r>
      <w:r w:rsidR="0013431F">
        <w:rPr>
          <w:rFonts w:ascii="Arial" w:hAnsi="Arial" w:cs="Arial"/>
        </w:rPr>
        <w:t xml:space="preserve"> and </w:t>
      </w:r>
      <w:r w:rsidR="006F4BF2">
        <w:rPr>
          <w:rFonts w:ascii="Arial" w:hAnsi="Arial" w:cs="Arial"/>
        </w:rPr>
        <w:t>Cambridg</w:t>
      </w:r>
      <w:r w:rsidR="00C61431">
        <w:rPr>
          <w:rFonts w:ascii="Arial" w:hAnsi="Arial" w:cs="Arial"/>
        </w:rPr>
        <w:t>e</w:t>
      </w:r>
      <w:r w:rsidR="006F4BF2">
        <w:rPr>
          <w:rFonts w:ascii="Arial" w:hAnsi="Arial" w:cs="Arial"/>
        </w:rPr>
        <w:t>shire</w:t>
      </w:r>
      <w:r w:rsidR="00190830">
        <w:rPr>
          <w:rFonts w:ascii="Arial" w:hAnsi="Arial" w:cs="Arial"/>
        </w:rPr>
        <w:t xml:space="preserve">. </w:t>
      </w:r>
      <w:r w:rsidR="000F2590">
        <w:rPr>
          <w:rFonts w:ascii="Arial" w:hAnsi="Arial" w:cs="Arial"/>
        </w:rPr>
        <w:t xml:space="preserve"> </w:t>
      </w:r>
    </w:p>
    <w:p w14:paraId="22727FED" w14:textId="623053E5" w:rsidR="003B08FC" w:rsidRPr="00C85EF2" w:rsidRDefault="003B08FC" w:rsidP="003B08FC">
      <w:pPr>
        <w:spacing w:before="120" w:after="0"/>
        <w:rPr>
          <w:rFonts w:ascii="Arial" w:hAnsi="Arial" w:cs="Arial"/>
        </w:rPr>
      </w:pPr>
      <w:r w:rsidRPr="00C85EF2">
        <w:rPr>
          <w:rFonts w:ascii="Arial" w:hAnsi="Arial" w:cs="Arial"/>
        </w:rPr>
        <w:t xml:space="preserve">The claim is </w:t>
      </w:r>
      <w:r w:rsidR="000F2590">
        <w:rPr>
          <w:rFonts w:ascii="Arial" w:hAnsi="Arial" w:cs="Arial"/>
        </w:rPr>
        <w:t>made to address the fo</w:t>
      </w:r>
      <w:r w:rsidRPr="00C85EF2">
        <w:rPr>
          <w:rFonts w:ascii="Arial" w:hAnsi="Arial" w:cs="Arial"/>
        </w:rPr>
        <w:t>llowing key points:</w:t>
      </w:r>
    </w:p>
    <w:p w14:paraId="7A172FBC" w14:textId="668F4138" w:rsidR="00723A7B" w:rsidRPr="00723A7B" w:rsidRDefault="00FE1A79" w:rsidP="008632D8">
      <w:pPr>
        <w:pStyle w:val="ListParagraph"/>
        <w:numPr>
          <w:ilvl w:val="0"/>
          <w:numId w:val="6"/>
        </w:numPr>
        <w:spacing w:before="120" w:after="0"/>
        <w:ind w:left="709" w:hanging="357"/>
        <w:contextualSpacing w:val="0"/>
        <w:rPr>
          <w:rFonts w:ascii="Arial" w:hAnsi="Arial" w:cs="Arial"/>
          <w:b/>
        </w:rPr>
      </w:pPr>
      <w:r>
        <w:rPr>
          <w:rFonts w:ascii="Arial" w:hAnsi="Arial" w:cs="Arial"/>
        </w:rPr>
        <w:t>Staff, across all pay bands, experience substantially higher living costs in these areas than other geographical area</w:t>
      </w:r>
      <w:r w:rsidR="00723A7B">
        <w:rPr>
          <w:rFonts w:ascii="Arial" w:hAnsi="Arial" w:cs="Arial"/>
        </w:rPr>
        <w:t>s;</w:t>
      </w:r>
    </w:p>
    <w:p w14:paraId="1DA25914" w14:textId="67082B99" w:rsidR="003B08FC" w:rsidRPr="00C85EF2" w:rsidRDefault="003B08FC" w:rsidP="008632D8">
      <w:pPr>
        <w:pStyle w:val="ListParagraph"/>
        <w:numPr>
          <w:ilvl w:val="0"/>
          <w:numId w:val="6"/>
        </w:numPr>
        <w:spacing w:before="120" w:after="0"/>
        <w:ind w:left="709" w:hanging="357"/>
        <w:contextualSpacing w:val="0"/>
        <w:rPr>
          <w:rFonts w:ascii="Arial" w:hAnsi="Arial" w:cs="Arial"/>
          <w:b/>
        </w:rPr>
      </w:pPr>
      <w:r>
        <w:rPr>
          <w:rFonts w:ascii="Arial" w:hAnsi="Arial" w:cs="Arial"/>
        </w:rPr>
        <w:t>Substantial</w:t>
      </w:r>
      <w:r w:rsidRPr="00C85EF2">
        <w:rPr>
          <w:rFonts w:ascii="Arial" w:hAnsi="Arial" w:cs="Arial"/>
        </w:rPr>
        <w:t xml:space="preserve"> increases in the cost of living over recent years have significantly reduced the value of staff wages</w:t>
      </w:r>
      <w:r>
        <w:rPr>
          <w:rFonts w:ascii="Arial" w:hAnsi="Arial" w:cs="Arial"/>
        </w:rPr>
        <w:t xml:space="preserve"> and the rise in prices facing workers is now at a 40-year high</w:t>
      </w:r>
      <w:r w:rsidR="00723A7B">
        <w:rPr>
          <w:rFonts w:ascii="Arial" w:hAnsi="Arial" w:cs="Arial"/>
        </w:rPr>
        <w:t>, the cost of living crisis is going to be greater for staff living in the most expensive locations outside of London</w:t>
      </w:r>
      <w:r w:rsidRPr="00C85EF2">
        <w:rPr>
          <w:rFonts w:ascii="Arial" w:hAnsi="Arial" w:cs="Arial"/>
        </w:rPr>
        <w:t>;</w:t>
      </w:r>
    </w:p>
    <w:p w14:paraId="78400DA8" w14:textId="1CAF9D3D" w:rsidR="003B08FC" w:rsidRPr="00C85EF2" w:rsidRDefault="003B08FC" w:rsidP="008632D8">
      <w:pPr>
        <w:pStyle w:val="ListParagraph"/>
        <w:numPr>
          <w:ilvl w:val="0"/>
          <w:numId w:val="6"/>
        </w:numPr>
        <w:spacing w:before="120" w:after="0"/>
        <w:ind w:left="709" w:hanging="357"/>
        <w:contextualSpacing w:val="0"/>
        <w:rPr>
          <w:rFonts w:ascii="Arial" w:hAnsi="Arial" w:cs="Arial"/>
          <w:b/>
        </w:rPr>
      </w:pPr>
      <w:r w:rsidRPr="00C85EF2">
        <w:rPr>
          <w:rFonts w:ascii="Arial" w:hAnsi="Arial" w:cs="Arial"/>
        </w:rPr>
        <w:t>Appropriate reward</w:t>
      </w:r>
      <w:r w:rsidR="00723A7B">
        <w:rPr>
          <w:rFonts w:ascii="Arial" w:hAnsi="Arial" w:cs="Arial"/>
        </w:rPr>
        <w:t>, compared to pay levels offered by other employers,</w:t>
      </w:r>
      <w:r w:rsidRPr="00C85EF2">
        <w:rPr>
          <w:rFonts w:ascii="Arial" w:hAnsi="Arial" w:cs="Arial"/>
        </w:rPr>
        <w:t xml:space="preserve"> is needed to sustain the morale and productivity of staff in their crucial role of delivering </w:t>
      </w:r>
      <w:r w:rsidR="00723A7B">
        <w:rPr>
          <w:rFonts w:ascii="Arial" w:hAnsi="Arial" w:cs="Arial"/>
        </w:rPr>
        <w:t xml:space="preserve">a </w:t>
      </w:r>
      <w:r w:rsidRPr="00C85EF2">
        <w:rPr>
          <w:rFonts w:ascii="Arial" w:hAnsi="Arial" w:cs="Arial"/>
        </w:rPr>
        <w:t xml:space="preserve">high quality </w:t>
      </w:r>
      <w:r w:rsidR="00723A7B">
        <w:rPr>
          <w:rFonts w:ascii="Arial" w:hAnsi="Arial" w:cs="Arial"/>
        </w:rPr>
        <w:t xml:space="preserve">probation </w:t>
      </w:r>
      <w:r w:rsidRPr="00C85EF2">
        <w:rPr>
          <w:rFonts w:ascii="Arial" w:hAnsi="Arial" w:cs="Arial"/>
        </w:rPr>
        <w:t>service;</w:t>
      </w:r>
    </w:p>
    <w:p w14:paraId="0A4E947F" w14:textId="3F496877" w:rsidR="003B08FC" w:rsidRPr="00B2193D" w:rsidRDefault="003B08FC" w:rsidP="008632D8">
      <w:pPr>
        <w:pStyle w:val="ListParagraph"/>
        <w:numPr>
          <w:ilvl w:val="0"/>
          <w:numId w:val="6"/>
        </w:numPr>
        <w:spacing w:before="120" w:after="0"/>
        <w:ind w:left="709" w:hanging="357"/>
        <w:contextualSpacing w:val="0"/>
        <w:rPr>
          <w:rFonts w:ascii="Arial" w:hAnsi="Arial" w:cs="Arial"/>
          <w:b/>
        </w:rPr>
      </w:pPr>
      <w:r w:rsidRPr="00C85EF2">
        <w:rPr>
          <w:rFonts w:ascii="Arial" w:hAnsi="Arial" w:cs="Arial"/>
        </w:rPr>
        <w:t xml:space="preserve">Average </w:t>
      </w:r>
      <w:r>
        <w:rPr>
          <w:rFonts w:ascii="Arial" w:hAnsi="Arial" w:cs="Arial"/>
        </w:rPr>
        <w:t xml:space="preserve">earnings and </w:t>
      </w:r>
      <w:r w:rsidRPr="00C85EF2">
        <w:rPr>
          <w:rFonts w:ascii="Arial" w:hAnsi="Arial" w:cs="Arial"/>
        </w:rPr>
        <w:t xml:space="preserve">pay settlements </w:t>
      </w:r>
      <w:r>
        <w:rPr>
          <w:rFonts w:ascii="Arial" w:hAnsi="Arial" w:cs="Arial"/>
        </w:rPr>
        <w:t xml:space="preserve">are surging </w:t>
      </w:r>
      <w:r w:rsidRPr="00C85EF2">
        <w:rPr>
          <w:rFonts w:ascii="Arial" w:hAnsi="Arial" w:cs="Arial"/>
        </w:rPr>
        <w:t>across the economy</w:t>
      </w:r>
      <w:r>
        <w:rPr>
          <w:rFonts w:ascii="Arial" w:hAnsi="Arial" w:cs="Arial"/>
        </w:rPr>
        <w:t xml:space="preserve">, </w:t>
      </w:r>
      <w:r w:rsidR="004B0174">
        <w:rPr>
          <w:rFonts w:ascii="Arial" w:hAnsi="Arial" w:cs="Arial"/>
        </w:rPr>
        <w:t>but the difference between private sector pay and public sector pay including that offered by the Probatio</w:t>
      </w:r>
      <w:r w:rsidR="002B1DB8">
        <w:rPr>
          <w:rFonts w:ascii="Arial" w:hAnsi="Arial" w:cs="Arial"/>
        </w:rPr>
        <w:t>n</w:t>
      </w:r>
      <w:r w:rsidR="004B0174">
        <w:rPr>
          <w:rFonts w:ascii="Arial" w:hAnsi="Arial" w:cs="Arial"/>
        </w:rPr>
        <w:t xml:space="preserve"> Service, is greater in these areas than anywhere else outside of London, </w:t>
      </w:r>
      <w:r w:rsidRPr="00C85EF2">
        <w:rPr>
          <w:rFonts w:ascii="Arial" w:hAnsi="Arial" w:cs="Arial"/>
        </w:rPr>
        <w:t>increasing the likelihood of recruitment and retention problems;</w:t>
      </w:r>
    </w:p>
    <w:p w14:paraId="3060F2DC" w14:textId="1603304A" w:rsidR="003B08FC" w:rsidRDefault="004B0174" w:rsidP="008632D8">
      <w:pPr>
        <w:pStyle w:val="ListParagraph"/>
        <w:numPr>
          <w:ilvl w:val="0"/>
          <w:numId w:val="6"/>
        </w:numPr>
        <w:spacing w:before="120" w:after="0"/>
        <w:ind w:left="709" w:hanging="357"/>
        <w:contextualSpacing w:val="0"/>
        <w:rPr>
          <w:rFonts w:ascii="Arial" w:hAnsi="Arial" w:cs="Arial"/>
        </w:rPr>
      </w:pPr>
      <w:r w:rsidRPr="004B0174">
        <w:rPr>
          <w:rFonts w:ascii="Arial" w:hAnsi="Arial" w:cs="Arial"/>
        </w:rPr>
        <w:t xml:space="preserve">The removal of market forces supplements, as part of the 2022/23/24 Probation Service pay settlement, from certain staff working in these areas, without any actions to address the existring recruitment and retention problems, was a mistake that this claim aim to address. </w:t>
      </w:r>
    </w:p>
    <w:p w14:paraId="136041A1" w14:textId="4B99C5D5" w:rsidR="00190830" w:rsidRDefault="00190830" w:rsidP="008632D8">
      <w:pPr>
        <w:pStyle w:val="ListParagraph"/>
        <w:spacing w:before="120" w:after="0"/>
        <w:ind w:left="709"/>
        <w:contextualSpacing w:val="0"/>
        <w:rPr>
          <w:rFonts w:ascii="Arial" w:hAnsi="Arial" w:cs="Arial"/>
        </w:rPr>
      </w:pPr>
      <w:r>
        <w:rPr>
          <w:rFonts w:ascii="Arial" w:hAnsi="Arial" w:cs="Arial"/>
        </w:rPr>
        <w:t xml:space="preserve">The current market forces supplements to be phased out are: </w:t>
      </w:r>
    </w:p>
    <w:p w14:paraId="65475E02" w14:textId="77777777" w:rsidR="00190830" w:rsidRDefault="00190830" w:rsidP="008632D8">
      <w:pPr>
        <w:pStyle w:val="NoSpacing"/>
      </w:pPr>
    </w:p>
    <w:p w14:paraId="66A37B26" w14:textId="77777777" w:rsidR="00190830" w:rsidRPr="00190830" w:rsidRDefault="00190830" w:rsidP="008632D8">
      <w:pPr>
        <w:pStyle w:val="ListParagraph"/>
        <w:numPr>
          <w:ilvl w:val="1"/>
          <w:numId w:val="30"/>
        </w:numPr>
        <w:ind w:left="1276"/>
        <w:rPr>
          <w:rFonts w:ascii="Arial" w:hAnsi="Arial" w:cs="Arial"/>
        </w:rPr>
      </w:pPr>
      <w:r w:rsidRPr="00190830">
        <w:rPr>
          <w:rFonts w:ascii="Arial" w:hAnsi="Arial" w:cs="Arial"/>
          <w:b/>
          <w:bCs/>
        </w:rPr>
        <w:t>£1,100 for Band 3 staff</w:t>
      </w:r>
      <w:r w:rsidRPr="00190830">
        <w:rPr>
          <w:rFonts w:ascii="Arial" w:hAnsi="Arial" w:cs="Arial"/>
        </w:rPr>
        <w:t xml:space="preserve"> in some locations in Kent, Norfolk and Suffolk, Berkshire, Hertfordshire, Dorset, Buckinghamshire and Oxfordshire</w:t>
      </w:r>
    </w:p>
    <w:p w14:paraId="28B860DC" w14:textId="77777777" w:rsidR="00190830" w:rsidRPr="00190830" w:rsidRDefault="00190830" w:rsidP="008632D8">
      <w:pPr>
        <w:pStyle w:val="ListParagraph"/>
        <w:ind w:left="1276"/>
        <w:rPr>
          <w:rFonts w:ascii="Arial" w:hAnsi="Arial" w:cs="Arial"/>
        </w:rPr>
      </w:pPr>
    </w:p>
    <w:p w14:paraId="44689BA8" w14:textId="77777777" w:rsidR="00190830" w:rsidRPr="00190830" w:rsidRDefault="00190830" w:rsidP="008632D8">
      <w:pPr>
        <w:pStyle w:val="ListParagraph"/>
        <w:numPr>
          <w:ilvl w:val="1"/>
          <w:numId w:val="30"/>
        </w:numPr>
        <w:ind w:left="1276"/>
        <w:rPr>
          <w:rFonts w:ascii="Arial" w:hAnsi="Arial" w:cs="Arial"/>
        </w:rPr>
      </w:pPr>
      <w:r w:rsidRPr="00190830">
        <w:rPr>
          <w:rFonts w:ascii="Arial" w:hAnsi="Arial" w:cs="Arial"/>
          <w:b/>
          <w:bCs/>
        </w:rPr>
        <w:t>£1711 for Band 4 staff</w:t>
      </w:r>
      <w:r w:rsidRPr="00190830">
        <w:rPr>
          <w:rFonts w:ascii="Arial" w:hAnsi="Arial" w:cs="Arial"/>
        </w:rPr>
        <w:t xml:space="preserve"> in some locations in Buckinghamshire, Oxfordshire, Berkshire and at HMP North Sea Camp</w:t>
      </w:r>
    </w:p>
    <w:p w14:paraId="7C285DA9" w14:textId="77777777" w:rsidR="00190830" w:rsidRPr="00190830" w:rsidRDefault="00190830" w:rsidP="008632D8">
      <w:pPr>
        <w:pStyle w:val="ListParagraph"/>
        <w:ind w:left="1276"/>
        <w:rPr>
          <w:rFonts w:ascii="Arial" w:hAnsi="Arial" w:cs="Arial"/>
        </w:rPr>
      </w:pPr>
    </w:p>
    <w:p w14:paraId="339E103C" w14:textId="77777777" w:rsidR="00190830" w:rsidRPr="00190830" w:rsidRDefault="00190830" w:rsidP="008632D8">
      <w:pPr>
        <w:pStyle w:val="ListParagraph"/>
        <w:numPr>
          <w:ilvl w:val="1"/>
          <w:numId w:val="30"/>
        </w:numPr>
        <w:ind w:left="1276"/>
        <w:rPr>
          <w:rFonts w:ascii="Arial" w:hAnsi="Arial" w:cs="Arial"/>
        </w:rPr>
      </w:pPr>
      <w:r w:rsidRPr="00190830">
        <w:rPr>
          <w:rFonts w:ascii="Arial" w:hAnsi="Arial" w:cs="Arial"/>
          <w:b/>
          <w:bCs/>
        </w:rPr>
        <w:t>£2882 for Band 5 staff</w:t>
      </w:r>
      <w:r w:rsidRPr="00190830">
        <w:rPr>
          <w:rFonts w:ascii="Arial" w:hAnsi="Arial" w:cs="Arial"/>
        </w:rPr>
        <w:t xml:space="preserve"> in some locations in Kent</w:t>
      </w:r>
    </w:p>
    <w:p w14:paraId="51E1A0BE" w14:textId="77777777" w:rsidR="00190830" w:rsidRPr="00190830" w:rsidRDefault="00190830" w:rsidP="008632D8">
      <w:pPr>
        <w:pStyle w:val="ListParagraph"/>
        <w:ind w:left="1276"/>
        <w:rPr>
          <w:rFonts w:ascii="Arial" w:hAnsi="Arial" w:cs="Arial"/>
        </w:rPr>
      </w:pPr>
    </w:p>
    <w:p w14:paraId="57E075C9" w14:textId="617D3D6F" w:rsidR="00190830" w:rsidRDefault="00190830" w:rsidP="008632D8">
      <w:pPr>
        <w:pStyle w:val="ListParagraph"/>
        <w:numPr>
          <w:ilvl w:val="1"/>
          <w:numId w:val="30"/>
        </w:numPr>
        <w:ind w:left="1276"/>
        <w:rPr>
          <w:rFonts w:ascii="Arial" w:hAnsi="Arial" w:cs="Arial"/>
        </w:rPr>
      </w:pPr>
      <w:r w:rsidRPr="00190830">
        <w:rPr>
          <w:rFonts w:ascii="Arial" w:hAnsi="Arial" w:cs="Arial"/>
          <w:b/>
          <w:bCs/>
        </w:rPr>
        <w:t>£3016 for Band 4 staff</w:t>
      </w:r>
      <w:r w:rsidRPr="00190830">
        <w:rPr>
          <w:rFonts w:ascii="Arial" w:hAnsi="Arial" w:cs="Arial"/>
        </w:rPr>
        <w:t xml:space="preserve"> in some locations in Kent</w:t>
      </w:r>
    </w:p>
    <w:p w14:paraId="5C498E81" w14:textId="77777777" w:rsidR="00C413BF" w:rsidRPr="00C413BF" w:rsidRDefault="00C413BF" w:rsidP="00C413BF">
      <w:pPr>
        <w:pStyle w:val="ListParagraph"/>
        <w:rPr>
          <w:rFonts w:ascii="Arial" w:hAnsi="Arial" w:cs="Arial"/>
        </w:rPr>
      </w:pPr>
    </w:p>
    <w:p w14:paraId="1CAAB760" w14:textId="1A1F8673" w:rsidR="00C413BF" w:rsidRDefault="00C413BF" w:rsidP="008632D8">
      <w:pPr>
        <w:pStyle w:val="ListParagraph"/>
        <w:numPr>
          <w:ilvl w:val="1"/>
          <w:numId w:val="30"/>
        </w:numPr>
        <w:ind w:left="1276"/>
        <w:rPr>
          <w:rFonts w:ascii="Arial" w:hAnsi="Arial" w:cs="Arial"/>
        </w:rPr>
      </w:pPr>
      <w:r>
        <w:rPr>
          <w:rFonts w:ascii="Arial" w:hAnsi="Arial" w:cs="Arial"/>
        </w:rPr>
        <w:t>Essex has been included in this claim as an area of relatively high cost of living. The NHS include staff working in parts of Essex as eligible for London Fringe pay supplemtent as do local government. Officers in the Essex Police Force are paid the higher South East high cost allowance.</w:t>
      </w:r>
    </w:p>
    <w:p w14:paraId="2A048DF1" w14:textId="77777777" w:rsidR="00B92712" w:rsidRPr="00B92712" w:rsidRDefault="00B92712" w:rsidP="00B92712">
      <w:pPr>
        <w:pStyle w:val="ListParagraph"/>
        <w:rPr>
          <w:rFonts w:ascii="Arial" w:hAnsi="Arial" w:cs="Arial"/>
        </w:rPr>
      </w:pPr>
    </w:p>
    <w:p w14:paraId="4675A33F" w14:textId="774E6A37" w:rsidR="00B92712" w:rsidRDefault="00B92712" w:rsidP="008632D8">
      <w:pPr>
        <w:pStyle w:val="ListParagraph"/>
        <w:numPr>
          <w:ilvl w:val="1"/>
          <w:numId w:val="30"/>
        </w:numPr>
        <w:ind w:left="1276"/>
        <w:rPr>
          <w:rFonts w:ascii="Arial" w:hAnsi="Arial" w:cs="Arial"/>
        </w:rPr>
      </w:pPr>
      <w:r>
        <w:rPr>
          <w:rFonts w:ascii="Arial" w:hAnsi="Arial" w:cs="Arial"/>
        </w:rPr>
        <w:t>Cambr</w:t>
      </w:r>
      <w:r w:rsidR="00DD4BD8">
        <w:rPr>
          <w:rFonts w:ascii="Arial" w:hAnsi="Arial" w:cs="Arial"/>
        </w:rPr>
        <w:t xml:space="preserve">idgeshire has been included in this claim as it is an area of </w:t>
      </w:r>
      <w:r w:rsidR="009B0D72">
        <w:rPr>
          <w:rFonts w:ascii="Arial" w:hAnsi="Arial" w:cs="Arial"/>
        </w:rPr>
        <w:t>high living cost</w:t>
      </w:r>
      <w:r w:rsidR="002103C9">
        <w:rPr>
          <w:rFonts w:ascii="Arial" w:hAnsi="Arial" w:cs="Arial"/>
        </w:rPr>
        <w:t>s</w:t>
      </w:r>
      <w:r w:rsidR="009B0D72">
        <w:rPr>
          <w:rFonts w:ascii="Arial" w:hAnsi="Arial" w:cs="Arial"/>
        </w:rPr>
        <w:t xml:space="preserve"> and relatively high </w:t>
      </w:r>
      <w:r w:rsidR="004E61D9">
        <w:rPr>
          <w:rFonts w:ascii="Arial" w:hAnsi="Arial" w:cs="Arial"/>
        </w:rPr>
        <w:t>competitor private sector wage levels.</w:t>
      </w:r>
    </w:p>
    <w:p w14:paraId="7537E87A" w14:textId="3EC3F513" w:rsidR="001007B8" w:rsidRPr="007464E6" w:rsidRDefault="003B08FC" w:rsidP="007464E6">
      <w:pPr>
        <w:spacing w:before="120" w:after="0"/>
        <w:rPr>
          <w:rFonts w:ascii="Arial" w:hAnsi="Arial" w:cs="Arial"/>
          <w:b/>
        </w:rPr>
      </w:pPr>
      <w:r>
        <w:rPr>
          <w:rFonts w:ascii="Arial" w:hAnsi="Arial" w:cs="Arial"/>
          <w:b/>
        </w:rPr>
        <w:t xml:space="preserve">2.  </w:t>
      </w:r>
      <w:r w:rsidRPr="0095316B">
        <w:rPr>
          <w:rFonts w:ascii="Arial" w:hAnsi="Arial" w:cs="Arial"/>
          <w:b/>
        </w:rPr>
        <w:t>SUMMARY OF CLAIM</w:t>
      </w:r>
    </w:p>
    <w:p w14:paraId="601C4D5F" w14:textId="4356D50B" w:rsidR="003B08FC" w:rsidRPr="0095316B" w:rsidRDefault="003B08FC" w:rsidP="003B08FC">
      <w:pPr>
        <w:pStyle w:val="BodyTextIndent3"/>
        <w:spacing w:before="120" w:line="276" w:lineRule="auto"/>
        <w:ind w:left="0" w:firstLine="0"/>
        <w:rPr>
          <w:rFonts w:cs="Arial"/>
          <w:sz w:val="22"/>
          <w:szCs w:val="22"/>
        </w:rPr>
      </w:pPr>
      <w:r w:rsidRPr="0095316B">
        <w:rPr>
          <w:rFonts w:cs="Arial"/>
          <w:sz w:val="22"/>
          <w:szCs w:val="22"/>
        </w:rPr>
        <w:t>We are seeking:</w:t>
      </w:r>
    </w:p>
    <w:p w14:paraId="71027C0A" w14:textId="277FA7D5" w:rsidR="00DA3592" w:rsidRPr="00DA3592" w:rsidRDefault="007E5EB4" w:rsidP="008632D8">
      <w:pPr>
        <w:pStyle w:val="BodyTextIndent3"/>
        <w:numPr>
          <w:ilvl w:val="0"/>
          <w:numId w:val="7"/>
        </w:numPr>
        <w:spacing w:before="120" w:line="276" w:lineRule="auto"/>
        <w:ind w:left="709"/>
        <w:rPr>
          <w:rFonts w:cs="Arial"/>
        </w:rPr>
      </w:pPr>
      <w:r w:rsidRPr="00287D48">
        <w:rPr>
          <w:rFonts w:cs="Arial"/>
          <w:sz w:val="22"/>
          <w:szCs w:val="22"/>
        </w:rPr>
        <w:t xml:space="preserve">The </w:t>
      </w:r>
      <w:r w:rsidR="004E5826">
        <w:rPr>
          <w:rFonts w:cs="Arial"/>
          <w:sz w:val="22"/>
          <w:szCs w:val="22"/>
        </w:rPr>
        <w:t xml:space="preserve">highest Geographical Supplement </w:t>
      </w:r>
      <w:r w:rsidR="00903EA7">
        <w:rPr>
          <w:rFonts w:cs="Arial"/>
          <w:sz w:val="22"/>
          <w:szCs w:val="22"/>
        </w:rPr>
        <w:t xml:space="preserve">rate </w:t>
      </w:r>
      <w:r w:rsidR="00EB233B">
        <w:rPr>
          <w:rFonts w:cs="Arial"/>
          <w:sz w:val="22"/>
          <w:szCs w:val="22"/>
        </w:rPr>
        <w:t xml:space="preserve">1 </w:t>
      </w:r>
      <w:r w:rsidR="00B61DAF" w:rsidRPr="00287D48">
        <w:rPr>
          <w:rFonts w:cs="Arial"/>
          <w:sz w:val="22"/>
          <w:szCs w:val="22"/>
        </w:rPr>
        <w:t>- £</w:t>
      </w:r>
      <w:r w:rsidR="00190830">
        <w:rPr>
          <w:rFonts w:cs="Arial"/>
          <w:sz w:val="22"/>
          <w:szCs w:val="22"/>
        </w:rPr>
        <w:t>4,045</w:t>
      </w:r>
      <w:r w:rsidR="00452B02" w:rsidRPr="00287D48">
        <w:rPr>
          <w:rFonts w:cs="Arial"/>
          <w:sz w:val="22"/>
          <w:szCs w:val="22"/>
        </w:rPr>
        <w:t xml:space="preserve"> per annum</w:t>
      </w:r>
      <w:r w:rsidR="002D4855" w:rsidRPr="00287D48">
        <w:rPr>
          <w:rFonts w:cs="Arial"/>
          <w:sz w:val="22"/>
          <w:szCs w:val="22"/>
        </w:rPr>
        <w:t xml:space="preserve"> in 202</w:t>
      </w:r>
      <w:r w:rsidR="00190830">
        <w:rPr>
          <w:rFonts w:cs="Arial"/>
          <w:sz w:val="22"/>
          <w:szCs w:val="22"/>
        </w:rPr>
        <w:t>3</w:t>
      </w:r>
      <w:r w:rsidR="00F21493" w:rsidRPr="00287D48">
        <w:rPr>
          <w:rFonts w:cs="Arial"/>
          <w:sz w:val="22"/>
          <w:szCs w:val="22"/>
        </w:rPr>
        <w:t>, to be applied to all staff working in the</w:t>
      </w:r>
      <w:r w:rsidR="007E6301">
        <w:rPr>
          <w:rFonts w:cs="Arial"/>
          <w:sz w:val="22"/>
          <w:szCs w:val="22"/>
        </w:rPr>
        <w:t xml:space="preserve"> </w:t>
      </w:r>
      <w:r w:rsidR="00056C9A">
        <w:rPr>
          <w:rFonts w:cs="Arial"/>
          <w:sz w:val="22"/>
          <w:szCs w:val="22"/>
        </w:rPr>
        <w:t>cou</w:t>
      </w:r>
      <w:r w:rsidR="00CD4CAC">
        <w:rPr>
          <w:rFonts w:cs="Arial"/>
          <w:sz w:val="22"/>
          <w:szCs w:val="22"/>
        </w:rPr>
        <w:t xml:space="preserve">nties which border Greater London. These are </w:t>
      </w:r>
      <w:r w:rsidR="00365FD2">
        <w:rPr>
          <w:rFonts w:cs="Arial"/>
          <w:sz w:val="22"/>
          <w:szCs w:val="22"/>
        </w:rPr>
        <w:t>Berks</w:t>
      </w:r>
      <w:r w:rsidR="00BA318C">
        <w:rPr>
          <w:rFonts w:cs="Arial"/>
          <w:sz w:val="22"/>
          <w:szCs w:val="22"/>
        </w:rPr>
        <w:t>hire, Buckinghamshire</w:t>
      </w:r>
      <w:r w:rsidR="00157849">
        <w:rPr>
          <w:rFonts w:cs="Arial"/>
          <w:sz w:val="22"/>
          <w:szCs w:val="22"/>
        </w:rPr>
        <w:t xml:space="preserve"> (including Milton Keynes)</w:t>
      </w:r>
      <w:r w:rsidR="00BA318C">
        <w:rPr>
          <w:rFonts w:cs="Arial"/>
          <w:sz w:val="22"/>
          <w:szCs w:val="22"/>
        </w:rPr>
        <w:t>, Essex, Her</w:t>
      </w:r>
      <w:r w:rsidR="009F4D72">
        <w:rPr>
          <w:rFonts w:cs="Arial"/>
          <w:sz w:val="22"/>
          <w:szCs w:val="22"/>
        </w:rPr>
        <w:t>tfordshire, Kent and Surrey</w:t>
      </w:r>
      <w:r w:rsidR="00DA3592">
        <w:rPr>
          <w:rFonts w:cs="Arial"/>
          <w:sz w:val="22"/>
          <w:szCs w:val="22"/>
        </w:rPr>
        <w:t xml:space="preserve">. </w:t>
      </w:r>
    </w:p>
    <w:p w14:paraId="3DE128E1" w14:textId="21A5604E" w:rsidR="00287D48" w:rsidRPr="00DF37C8" w:rsidRDefault="00EB233B" w:rsidP="008632D8">
      <w:pPr>
        <w:pStyle w:val="BodyTextIndent3"/>
        <w:numPr>
          <w:ilvl w:val="0"/>
          <w:numId w:val="7"/>
        </w:numPr>
        <w:spacing w:before="120" w:line="276" w:lineRule="auto"/>
        <w:ind w:left="709"/>
        <w:rPr>
          <w:rFonts w:cs="Arial"/>
        </w:rPr>
      </w:pPr>
      <w:r>
        <w:rPr>
          <w:rFonts w:cs="Arial"/>
          <w:sz w:val="22"/>
          <w:szCs w:val="22"/>
        </w:rPr>
        <w:t xml:space="preserve">Geographical Supplement rate </w:t>
      </w:r>
      <w:r w:rsidR="00903EA7">
        <w:rPr>
          <w:rFonts w:cs="Arial"/>
          <w:sz w:val="22"/>
          <w:szCs w:val="22"/>
        </w:rPr>
        <w:t>2</w:t>
      </w:r>
      <w:r w:rsidR="001659BF">
        <w:rPr>
          <w:rFonts w:cs="Arial"/>
          <w:sz w:val="22"/>
          <w:szCs w:val="22"/>
        </w:rPr>
        <w:t xml:space="preserve"> - £1,910 per annum in 2023</w:t>
      </w:r>
      <w:r w:rsidR="00623433">
        <w:rPr>
          <w:rFonts w:cs="Arial"/>
          <w:sz w:val="22"/>
          <w:szCs w:val="22"/>
        </w:rPr>
        <w:t>, to be applied to</w:t>
      </w:r>
      <w:r w:rsidR="00DC60C6">
        <w:rPr>
          <w:rFonts w:cs="Arial"/>
          <w:sz w:val="22"/>
          <w:szCs w:val="22"/>
        </w:rPr>
        <w:t xml:space="preserve"> B</w:t>
      </w:r>
      <w:r w:rsidR="00623433">
        <w:rPr>
          <w:rFonts w:cs="Arial"/>
          <w:sz w:val="22"/>
          <w:szCs w:val="22"/>
        </w:rPr>
        <w:t>edfor</w:t>
      </w:r>
      <w:r w:rsidR="00A34BD6">
        <w:rPr>
          <w:rFonts w:cs="Arial"/>
          <w:sz w:val="22"/>
          <w:szCs w:val="22"/>
        </w:rPr>
        <w:t xml:space="preserve">dshire, Cambridgeshire, </w:t>
      </w:r>
      <w:r w:rsidR="00722DE0">
        <w:rPr>
          <w:rFonts w:cs="Arial"/>
          <w:sz w:val="22"/>
          <w:szCs w:val="22"/>
        </w:rPr>
        <w:t>Hampshire</w:t>
      </w:r>
      <w:r w:rsidR="00760CA4">
        <w:rPr>
          <w:rFonts w:cs="Arial"/>
          <w:sz w:val="22"/>
          <w:szCs w:val="22"/>
        </w:rPr>
        <w:t xml:space="preserve"> </w:t>
      </w:r>
      <w:r w:rsidR="000A260C">
        <w:rPr>
          <w:rFonts w:cs="Arial"/>
          <w:sz w:val="22"/>
          <w:szCs w:val="22"/>
        </w:rPr>
        <w:t>/</w:t>
      </w:r>
      <w:r w:rsidR="00760CA4">
        <w:rPr>
          <w:rFonts w:cs="Arial"/>
          <w:sz w:val="22"/>
          <w:szCs w:val="22"/>
        </w:rPr>
        <w:t xml:space="preserve"> </w:t>
      </w:r>
      <w:r w:rsidR="000A260C">
        <w:rPr>
          <w:rFonts w:cs="Arial"/>
          <w:sz w:val="22"/>
          <w:szCs w:val="22"/>
        </w:rPr>
        <w:t xml:space="preserve">Isle of Wight, </w:t>
      </w:r>
      <w:r w:rsidR="00BB0084">
        <w:rPr>
          <w:rFonts w:cs="Arial"/>
          <w:sz w:val="22"/>
          <w:szCs w:val="22"/>
        </w:rPr>
        <w:t xml:space="preserve">Oxfordshire, </w:t>
      </w:r>
      <w:r w:rsidR="00DF37C8">
        <w:rPr>
          <w:rFonts w:cs="Arial"/>
          <w:sz w:val="22"/>
          <w:szCs w:val="22"/>
        </w:rPr>
        <w:t>Suffolk and Sussex.</w:t>
      </w:r>
    </w:p>
    <w:p w14:paraId="64D3B3E9" w14:textId="2486D69A" w:rsidR="00DF37C8" w:rsidRPr="003732FC" w:rsidRDefault="00DF37C8" w:rsidP="008632D8">
      <w:pPr>
        <w:pStyle w:val="BodyTextIndent3"/>
        <w:numPr>
          <w:ilvl w:val="0"/>
          <w:numId w:val="7"/>
        </w:numPr>
        <w:spacing w:before="120" w:line="276" w:lineRule="auto"/>
        <w:ind w:left="709"/>
        <w:rPr>
          <w:rFonts w:cs="Arial"/>
        </w:rPr>
      </w:pPr>
      <w:r>
        <w:rPr>
          <w:rFonts w:cs="Arial"/>
          <w:sz w:val="22"/>
          <w:szCs w:val="22"/>
        </w:rPr>
        <w:t>Geographical Suppl</w:t>
      </w:r>
      <w:r w:rsidR="00C626D0">
        <w:rPr>
          <w:rFonts w:cs="Arial"/>
          <w:sz w:val="22"/>
          <w:szCs w:val="22"/>
        </w:rPr>
        <w:t xml:space="preserve">ement rate </w:t>
      </w:r>
      <w:r w:rsidR="00E22DE3">
        <w:rPr>
          <w:rFonts w:cs="Arial"/>
          <w:sz w:val="22"/>
          <w:szCs w:val="22"/>
        </w:rPr>
        <w:t>3 - £ 955 per annum in 2023, to be applied to Norfol</w:t>
      </w:r>
      <w:r w:rsidR="00BB0084">
        <w:rPr>
          <w:rFonts w:cs="Arial"/>
          <w:sz w:val="22"/>
          <w:szCs w:val="22"/>
        </w:rPr>
        <w:t>k.</w:t>
      </w:r>
    </w:p>
    <w:p w14:paraId="13D56C9C" w14:textId="7DB447AD" w:rsidR="003732FC" w:rsidRDefault="003732FC" w:rsidP="003732FC">
      <w:pPr>
        <w:pStyle w:val="BodyTextIndent3"/>
        <w:spacing w:before="120" w:line="276" w:lineRule="auto"/>
        <w:rPr>
          <w:rFonts w:cs="Arial"/>
          <w:sz w:val="22"/>
          <w:szCs w:val="22"/>
        </w:rPr>
      </w:pPr>
    </w:p>
    <w:p w14:paraId="037C5CB3" w14:textId="29048DD0" w:rsidR="00190830" w:rsidRDefault="00190830" w:rsidP="008632D8">
      <w:pPr>
        <w:pStyle w:val="BodyTextIndent3"/>
        <w:spacing w:before="120" w:line="276" w:lineRule="auto"/>
        <w:ind w:left="709" w:firstLine="0"/>
        <w:rPr>
          <w:rFonts w:cs="Arial"/>
          <w:sz w:val="22"/>
          <w:szCs w:val="22"/>
        </w:rPr>
      </w:pPr>
      <w:r>
        <w:rPr>
          <w:rFonts w:cs="Arial"/>
          <w:sz w:val="22"/>
          <w:szCs w:val="22"/>
        </w:rPr>
        <w:t>The Probation Service Geographical Supplement</w:t>
      </w:r>
      <w:r w:rsidR="00C054C3">
        <w:rPr>
          <w:rFonts w:cs="Arial"/>
          <w:sz w:val="22"/>
          <w:szCs w:val="22"/>
        </w:rPr>
        <w:t xml:space="preserve"> rates</w:t>
      </w:r>
      <w:r>
        <w:rPr>
          <w:rFonts w:cs="Arial"/>
          <w:sz w:val="22"/>
          <w:szCs w:val="22"/>
        </w:rPr>
        <w:t xml:space="preserve"> as detailed in the 2022/23/</w:t>
      </w:r>
      <w:r w:rsidR="003B7800">
        <w:rPr>
          <w:rFonts w:cs="Arial"/>
          <w:sz w:val="22"/>
          <w:szCs w:val="22"/>
        </w:rPr>
        <w:t>2</w:t>
      </w:r>
      <w:r>
        <w:rPr>
          <w:rFonts w:cs="Arial"/>
          <w:sz w:val="22"/>
          <w:szCs w:val="22"/>
        </w:rPr>
        <w:t>4 pay settlement are:</w:t>
      </w:r>
    </w:p>
    <w:p w14:paraId="65239E0D" w14:textId="77777777" w:rsidR="00C054C3" w:rsidRDefault="00C054C3" w:rsidP="00190830">
      <w:pPr>
        <w:pStyle w:val="BodyTextIndent3"/>
        <w:spacing w:before="120" w:line="276" w:lineRule="auto"/>
        <w:ind w:left="1440" w:firstLine="0"/>
        <w:rPr>
          <w:rFonts w:cs="Arial"/>
          <w:sz w:val="22"/>
          <w:szCs w:val="22"/>
        </w:rPr>
      </w:pPr>
    </w:p>
    <w:p w14:paraId="1A4A03E6" w14:textId="686203AB" w:rsidR="00C054C3" w:rsidRDefault="00C054C3" w:rsidP="00C054C3">
      <w:pPr>
        <w:pStyle w:val="Bodycopy"/>
        <w:tabs>
          <w:tab w:val="left" w:pos="2160"/>
        </w:tabs>
        <w:ind w:left="2160" w:firstLine="959"/>
        <w:rPr>
          <w:rFonts w:ascii="Arial" w:hAnsi="Arial" w:cs="Arial"/>
          <w:b/>
          <w:bCs/>
          <w:sz w:val="24"/>
          <w:szCs w:val="24"/>
        </w:rPr>
      </w:pPr>
      <w:r>
        <w:rPr>
          <w:rFonts w:ascii="Arial" w:hAnsi="Arial" w:cs="Arial"/>
          <w:b/>
          <w:bCs/>
          <w:sz w:val="24"/>
          <w:szCs w:val="24"/>
        </w:rPr>
        <w:tab/>
      </w:r>
      <w:r w:rsidRPr="00F269EE">
        <w:rPr>
          <w:rFonts w:ascii="Arial" w:hAnsi="Arial" w:cs="Arial"/>
          <w:b/>
          <w:bCs/>
          <w:sz w:val="24"/>
          <w:szCs w:val="24"/>
        </w:rPr>
        <w:t>2022</w:t>
      </w:r>
      <w:r w:rsidRPr="00F269EE">
        <w:rPr>
          <w:rFonts w:ascii="Arial" w:hAnsi="Arial" w:cs="Arial"/>
          <w:b/>
          <w:bCs/>
          <w:sz w:val="24"/>
          <w:szCs w:val="24"/>
        </w:rPr>
        <w:tab/>
      </w:r>
      <w:r>
        <w:rPr>
          <w:rFonts w:ascii="Arial" w:hAnsi="Arial" w:cs="Arial"/>
          <w:b/>
          <w:bCs/>
          <w:sz w:val="24"/>
          <w:szCs w:val="24"/>
        </w:rPr>
        <w:tab/>
      </w:r>
      <w:r w:rsidRPr="00F269EE">
        <w:rPr>
          <w:rFonts w:ascii="Arial" w:hAnsi="Arial" w:cs="Arial"/>
          <w:b/>
          <w:bCs/>
          <w:sz w:val="24"/>
          <w:szCs w:val="24"/>
        </w:rPr>
        <w:t>2023</w:t>
      </w:r>
      <w:r w:rsidRPr="00F269EE">
        <w:rPr>
          <w:rFonts w:ascii="Arial" w:hAnsi="Arial" w:cs="Arial"/>
          <w:b/>
          <w:bCs/>
          <w:sz w:val="24"/>
          <w:szCs w:val="24"/>
        </w:rPr>
        <w:tab/>
      </w:r>
      <w:r w:rsidRPr="00F269EE">
        <w:rPr>
          <w:rFonts w:ascii="Arial" w:hAnsi="Arial" w:cs="Arial"/>
          <w:b/>
          <w:bCs/>
          <w:sz w:val="24"/>
          <w:szCs w:val="24"/>
        </w:rPr>
        <w:tab/>
        <w:t>2024</w:t>
      </w:r>
    </w:p>
    <w:p w14:paraId="24845AC2" w14:textId="77777777" w:rsidR="00C054C3" w:rsidRPr="00F269EE" w:rsidRDefault="00C054C3" w:rsidP="00C054C3">
      <w:pPr>
        <w:pStyle w:val="Bodycopy"/>
        <w:tabs>
          <w:tab w:val="left" w:pos="2160"/>
        </w:tabs>
        <w:ind w:left="2160" w:firstLine="720"/>
        <w:rPr>
          <w:rFonts w:ascii="Arial" w:hAnsi="Arial" w:cs="Arial"/>
          <w:b/>
          <w:bCs/>
          <w:sz w:val="24"/>
          <w:szCs w:val="24"/>
        </w:rPr>
      </w:pPr>
    </w:p>
    <w:p w14:paraId="37350F00" w14:textId="4027640C" w:rsidR="00C054C3" w:rsidRPr="00C054C3" w:rsidRDefault="00C054C3" w:rsidP="00C054C3">
      <w:pPr>
        <w:pStyle w:val="Bodycopy"/>
        <w:tabs>
          <w:tab w:val="left" w:pos="709"/>
          <w:tab w:val="left" w:pos="851"/>
          <w:tab w:val="left" w:pos="2160"/>
        </w:tabs>
        <w:ind w:left="709"/>
        <w:rPr>
          <w:rFonts w:ascii="Arial" w:hAnsi="Arial" w:cs="Arial"/>
          <w:b/>
          <w:bCs/>
          <w:sz w:val="24"/>
          <w:szCs w:val="24"/>
        </w:rPr>
      </w:pPr>
      <w:r w:rsidRPr="00F269EE">
        <w:rPr>
          <w:rFonts w:ascii="Arial" w:hAnsi="Arial" w:cs="Arial"/>
          <w:b/>
          <w:bCs/>
          <w:sz w:val="24"/>
          <w:szCs w:val="24"/>
        </w:rPr>
        <w:t>London Weighting</w:t>
      </w:r>
      <w:r>
        <w:rPr>
          <w:rFonts w:ascii="Arial" w:hAnsi="Arial" w:cs="Arial"/>
          <w:b/>
          <w:bCs/>
          <w:sz w:val="24"/>
          <w:szCs w:val="24"/>
        </w:rPr>
        <w:t xml:space="preserve">     </w:t>
      </w:r>
      <w:r>
        <w:rPr>
          <w:rFonts w:ascii="Arial" w:hAnsi="Arial" w:cs="Arial"/>
          <w:b/>
          <w:bCs/>
          <w:sz w:val="24"/>
          <w:szCs w:val="24"/>
        </w:rPr>
        <w:tab/>
      </w:r>
      <w:r w:rsidRPr="00F269EE">
        <w:rPr>
          <w:rFonts w:ascii="Arial" w:hAnsi="Arial" w:cs="Arial"/>
          <w:sz w:val="24"/>
          <w:szCs w:val="24"/>
        </w:rPr>
        <w:t>£4005</w:t>
      </w:r>
      <w:r w:rsidRPr="00F269EE">
        <w:rPr>
          <w:rFonts w:ascii="Arial" w:hAnsi="Arial" w:cs="Arial"/>
          <w:sz w:val="24"/>
          <w:szCs w:val="24"/>
        </w:rPr>
        <w:tab/>
      </w:r>
      <w:r w:rsidRPr="00F269EE">
        <w:rPr>
          <w:rFonts w:ascii="Arial" w:hAnsi="Arial" w:cs="Arial"/>
          <w:sz w:val="24"/>
          <w:szCs w:val="24"/>
        </w:rPr>
        <w:tab/>
        <w:t>£4126</w:t>
      </w:r>
      <w:r>
        <w:rPr>
          <w:rFonts w:ascii="Arial" w:hAnsi="Arial" w:cs="Arial"/>
          <w:sz w:val="24"/>
          <w:szCs w:val="24"/>
        </w:rPr>
        <w:tab/>
      </w:r>
      <w:r>
        <w:rPr>
          <w:rFonts w:ascii="Arial" w:hAnsi="Arial" w:cs="Arial"/>
          <w:sz w:val="24"/>
          <w:szCs w:val="24"/>
        </w:rPr>
        <w:tab/>
        <w:t>£4249</w:t>
      </w:r>
      <w:r w:rsidRPr="00F269EE">
        <w:rPr>
          <w:rFonts w:ascii="Arial" w:hAnsi="Arial" w:cs="Arial"/>
          <w:sz w:val="24"/>
          <w:szCs w:val="24"/>
        </w:rPr>
        <w:tab/>
        <w:t xml:space="preserve">    </w:t>
      </w:r>
      <w:r w:rsidRPr="00F269EE">
        <w:rPr>
          <w:rFonts w:ascii="Arial" w:hAnsi="Arial" w:cs="Arial"/>
          <w:sz w:val="24"/>
          <w:szCs w:val="24"/>
        </w:rPr>
        <w:tab/>
        <w:t xml:space="preserve">   </w:t>
      </w:r>
      <w:r w:rsidRPr="00F269EE">
        <w:rPr>
          <w:rFonts w:ascii="Arial" w:hAnsi="Arial" w:cs="Arial"/>
          <w:b/>
          <w:bCs/>
          <w:sz w:val="24"/>
          <w:szCs w:val="24"/>
        </w:rPr>
        <w:tab/>
      </w:r>
      <w:r w:rsidRPr="00F269EE">
        <w:rPr>
          <w:rFonts w:ascii="Arial" w:hAnsi="Arial" w:cs="Arial"/>
          <w:b/>
          <w:bCs/>
          <w:sz w:val="24"/>
          <w:szCs w:val="24"/>
        </w:rPr>
        <w:tab/>
      </w:r>
      <w:r>
        <w:rPr>
          <w:rFonts w:ascii="Arial" w:hAnsi="Arial" w:cs="Arial"/>
          <w:b/>
          <w:bCs/>
          <w:sz w:val="24"/>
          <w:szCs w:val="24"/>
        </w:rPr>
        <w:tab/>
      </w:r>
      <w:r w:rsidRPr="00F269EE">
        <w:rPr>
          <w:rFonts w:ascii="Arial" w:hAnsi="Arial" w:cs="Arial"/>
          <w:sz w:val="24"/>
          <w:szCs w:val="24"/>
        </w:rPr>
        <w:tab/>
      </w:r>
      <w:r w:rsidRPr="00F269EE">
        <w:rPr>
          <w:rFonts w:ascii="Arial" w:hAnsi="Arial" w:cs="Arial"/>
          <w:sz w:val="24"/>
          <w:szCs w:val="24"/>
        </w:rPr>
        <w:tab/>
      </w:r>
    </w:p>
    <w:p w14:paraId="098D359D" w14:textId="4A12E9D6" w:rsidR="00C054C3" w:rsidRPr="00F269EE" w:rsidRDefault="00C054C3" w:rsidP="00C054C3">
      <w:pPr>
        <w:pStyle w:val="Bodycopy"/>
        <w:tabs>
          <w:tab w:val="left" w:pos="2160"/>
        </w:tabs>
        <w:ind w:left="709"/>
        <w:rPr>
          <w:rFonts w:ascii="Arial" w:hAnsi="Arial" w:cs="Arial"/>
          <w:sz w:val="24"/>
          <w:szCs w:val="24"/>
        </w:rPr>
      </w:pPr>
      <w:r w:rsidRPr="00F269EE">
        <w:rPr>
          <w:rFonts w:ascii="Arial" w:hAnsi="Arial" w:cs="Arial"/>
          <w:b/>
          <w:bCs/>
          <w:sz w:val="24"/>
          <w:szCs w:val="24"/>
        </w:rPr>
        <w:t>Geographical Supp 1</w:t>
      </w:r>
      <w:r w:rsidRPr="00F269EE">
        <w:rPr>
          <w:rFonts w:ascii="Arial" w:hAnsi="Arial" w:cs="Arial"/>
          <w:b/>
          <w:bCs/>
          <w:sz w:val="24"/>
          <w:szCs w:val="24"/>
        </w:rPr>
        <w:tab/>
      </w:r>
      <w:r>
        <w:rPr>
          <w:rFonts w:ascii="Arial" w:hAnsi="Arial" w:cs="Arial"/>
          <w:sz w:val="24"/>
          <w:szCs w:val="24"/>
        </w:rPr>
        <w:t>£3927</w:t>
      </w:r>
      <w:r>
        <w:rPr>
          <w:rFonts w:ascii="Arial" w:hAnsi="Arial" w:cs="Arial"/>
          <w:sz w:val="24"/>
          <w:szCs w:val="24"/>
        </w:rPr>
        <w:tab/>
      </w:r>
      <w:r>
        <w:rPr>
          <w:rFonts w:ascii="Arial" w:hAnsi="Arial" w:cs="Arial"/>
          <w:sz w:val="24"/>
          <w:szCs w:val="24"/>
        </w:rPr>
        <w:tab/>
        <w:t>£4045</w:t>
      </w:r>
      <w:r>
        <w:rPr>
          <w:rFonts w:ascii="Arial" w:hAnsi="Arial" w:cs="Arial"/>
          <w:sz w:val="24"/>
          <w:szCs w:val="24"/>
        </w:rPr>
        <w:tab/>
      </w:r>
      <w:r>
        <w:rPr>
          <w:rFonts w:ascii="Arial" w:hAnsi="Arial" w:cs="Arial"/>
          <w:sz w:val="24"/>
          <w:szCs w:val="24"/>
        </w:rPr>
        <w:tab/>
        <w:t>£4207</w:t>
      </w:r>
      <w:r>
        <w:rPr>
          <w:rFonts w:ascii="Arial" w:hAnsi="Arial" w:cs="Arial"/>
          <w:sz w:val="24"/>
          <w:szCs w:val="24"/>
        </w:rPr>
        <w:tab/>
      </w:r>
    </w:p>
    <w:p w14:paraId="094E8DDF" w14:textId="77777777" w:rsidR="00C054C3" w:rsidRPr="00F269EE" w:rsidRDefault="00C054C3" w:rsidP="00C054C3">
      <w:pPr>
        <w:pStyle w:val="Bodycopy"/>
        <w:tabs>
          <w:tab w:val="left" w:pos="2160"/>
        </w:tabs>
        <w:ind w:firstLine="720"/>
        <w:rPr>
          <w:rFonts w:ascii="Arial" w:hAnsi="Arial" w:cs="Arial"/>
          <w:b/>
          <w:bCs/>
          <w:sz w:val="24"/>
          <w:szCs w:val="24"/>
        </w:rPr>
      </w:pPr>
    </w:p>
    <w:p w14:paraId="25A56294" w14:textId="654A644E" w:rsidR="00C054C3" w:rsidRPr="00F269EE" w:rsidRDefault="00C054C3" w:rsidP="00C054C3">
      <w:pPr>
        <w:pStyle w:val="Bodycopy"/>
        <w:tabs>
          <w:tab w:val="left" w:pos="2160"/>
        </w:tabs>
        <w:ind w:left="709"/>
        <w:rPr>
          <w:rFonts w:ascii="Arial" w:hAnsi="Arial" w:cs="Arial"/>
          <w:b/>
          <w:bCs/>
          <w:sz w:val="24"/>
          <w:szCs w:val="24"/>
        </w:rPr>
      </w:pPr>
      <w:r w:rsidRPr="00F269EE">
        <w:rPr>
          <w:rFonts w:ascii="Arial" w:hAnsi="Arial" w:cs="Arial"/>
          <w:b/>
          <w:bCs/>
          <w:sz w:val="24"/>
          <w:szCs w:val="24"/>
        </w:rPr>
        <w:t>Geographical Supp 2</w:t>
      </w:r>
      <w:r w:rsidRPr="00F269EE">
        <w:rPr>
          <w:rFonts w:ascii="Arial" w:hAnsi="Arial" w:cs="Arial"/>
          <w:b/>
          <w:bCs/>
          <w:sz w:val="24"/>
          <w:szCs w:val="24"/>
        </w:rPr>
        <w:tab/>
      </w:r>
      <w:r>
        <w:rPr>
          <w:rFonts w:ascii="Arial" w:hAnsi="Arial" w:cs="Arial"/>
          <w:sz w:val="24"/>
          <w:szCs w:val="24"/>
        </w:rPr>
        <w:t>£1854</w:t>
      </w:r>
      <w:r>
        <w:rPr>
          <w:rFonts w:ascii="Arial" w:hAnsi="Arial" w:cs="Arial"/>
          <w:sz w:val="24"/>
          <w:szCs w:val="24"/>
        </w:rPr>
        <w:tab/>
      </w:r>
      <w:r>
        <w:rPr>
          <w:rFonts w:ascii="Arial" w:hAnsi="Arial" w:cs="Arial"/>
          <w:sz w:val="24"/>
          <w:szCs w:val="24"/>
        </w:rPr>
        <w:tab/>
        <w:t>£1910</w:t>
      </w:r>
      <w:r>
        <w:rPr>
          <w:rFonts w:ascii="Arial" w:hAnsi="Arial" w:cs="Arial"/>
          <w:sz w:val="24"/>
          <w:szCs w:val="24"/>
        </w:rPr>
        <w:tab/>
      </w:r>
      <w:r>
        <w:rPr>
          <w:rFonts w:ascii="Arial" w:hAnsi="Arial" w:cs="Arial"/>
          <w:sz w:val="24"/>
          <w:szCs w:val="24"/>
        </w:rPr>
        <w:tab/>
        <w:t>£1967</w:t>
      </w:r>
    </w:p>
    <w:p w14:paraId="54C394F1" w14:textId="77777777" w:rsidR="00C054C3" w:rsidRPr="00F269EE" w:rsidRDefault="00C054C3" w:rsidP="00C054C3">
      <w:pPr>
        <w:pStyle w:val="Bodycopy"/>
        <w:tabs>
          <w:tab w:val="left" w:pos="2160"/>
        </w:tabs>
        <w:rPr>
          <w:rFonts w:ascii="Arial" w:hAnsi="Arial" w:cs="Arial"/>
          <w:b/>
          <w:bCs/>
          <w:sz w:val="24"/>
          <w:szCs w:val="24"/>
        </w:rPr>
      </w:pPr>
    </w:p>
    <w:p w14:paraId="3C532365" w14:textId="4F32DC39" w:rsidR="00190830" w:rsidRPr="00C054C3" w:rsidRDefault="00C054C3" w:rsidP="00C054C3">
      <w:pPr>
        <w:pStyle w:val="Bodycopy"/>
        <w:tabs>
          <w:tab w:val="left" w:pos="2160"/>
        </w:tabs>
        <w:ind w:left="709"/>
        <w:rPr>
          <w:rFonts w:ascii="Arial" w:hAnsi="Arial" w:cs="Arial"/>
          <w:sz w:val="24"/>
          <w:szCs w:val="24"/>
        </w:rPr>
      </w:pPr>
      <w:r w:rsidRPr="00F269EE">
        <w:rPr>
          <w:rFonts w:ascii="Arial" w:hAnsi="Arial" w:cs="Arial"/>
          <w:b/>
          <w:bCs/>
          <w:sz w:val="24"/>
          <w:szCs w:val="24"/>
        </w:rPr>
        <w:t>Geographical Supp 3</w:t>
      </w:r>
      <w:r>
        <w:rPr>
          <w:rFonts w:ascii="Arial" w:hAnsi="Arial" w:cs="Arial"/>
          <w:sz w:val="24"/>
          <w:szCs w:val="24"/>
        </w:rPr>
        <w:tab/>
        <w:t>£927</w:t>
      </w:r>
      <w:r>
        <w:rPr>
          <w:rFonts w:ascii="Arial" w:hAnsi="Arial" w:cs="Arial"/>
          <w:sz w:val="24"/>
          <w:szCs w:val="24"/>
        </w:rPr>
        <w:tab/>
      </w:r>
      <w:r>
        <w:rPr>
          <w:rFonts w:ascii="Arial" w:hAnsi="Arial" w:cs="Arial"/>
          <w:sz w:val="24"/>
          <w:szCs w:val="24"/>
        </w:rPr>
        <w:tab/>
        <w:t>£955</w:t>
      </w:r>
      <w:r>
        <w:rPr>
          <w:rFonts w:ascii="Arial" w:hAnsi="Arial" w:cs="Arial"/>
          <w:sz w:val="24"/>
          <w:szCs w:val="24"/>
        </w:rPr>
        <w:tab/>
      </w:r>
      <w:r>
        <w:rPr>
          <w:rFonts w:ascii="Arial" w:hAnsi="Arial" w:cs="Arial"/>
          <w:sz w:val="24"/>
          <w:szCs w:val="24"/>
        </w:rPr>
        <w:tab/>
        <w:t>£983</w:t>
      </w:r>
    </w:p>
    <w:p w14:paraId="77B16FFD" w14:textId="77777777" w:rsidR="00190830" w:rsidRPr="00287D48" w:rsidRDefault="00190830" w:rsidP="00190830">
      <w:pPr>
        <w:pStyle w:val="BodyTextIndent3"/>
        <w:spacing w:before="120" w:line="276" w:lineRule="auto"/>
        <w:ind w:left="1440" w:firstLine="0"/>
        <w:rPr>
          <w:rFonts w:cs="Arial"/>
        </w:rPr>
      </w:pPr>
    </w:p>
    <w:p w14:paraId="74B2A4B8" w14:textId="2DDA2601" w:rsidR="008632D8" w:rsidRDefault="00CF4B81" w:rsidP="009A41D4">
      <w:pPr>
        <w:pStyle w:val="ListParagraph"/>
        <w:numPr>
          <w:ilvl w:val="0"/>
          <w:numId w:val="7"/>
        </w:numPr>
        <w:spacing w:before="120" w:after="0"/>
        <w:ind w:left="851"/>
        <w:rPr>
          <w:rFonts w:ascii="Arial" w:hAnsi="Arial" w:cs="Arial"/>
        </w:rPr>
      </w:pPr>
      <w:r w:rsidRPr="008334EB">
        <w:rPr>
          <w:rFonts w:ascii="Arial" w:hAnsi="Arial" w:cs="Arial"/>
        </w:rPr>
        <w:t>This applies only  to staff based outside of the M2</w:t>
      </w:r>
      <w:r w:rsidR="00D326BD" w:rsidRPr="008334EB">
        <w:rPr>
          <w:rFonts w:ascii="Arial" w:hAnsi="Arial" w:cs="Arial"/>
        </w:rPr>
        <w:t>5 in these areas and are therefore not in receipt of Lon</w:t>
      </w:r>
      <w:r w:rsidR="005F5EE3">
        <w:rPr>
          <w:rFonts w:ascii="Arial" w:hAnsi="Arial" w:cs="Arial"/>
        </w:rPr>
        <w:t>d</w:t>
      </w:r>
      <w:r w:rsidR="00D326BD" w:rsidRPr="008334EB">
        <w:rPr>
          <w:rFonts w:ascii="Arial" w:hAnsi="Arial" w:cs="Arial"/>
        </w:rPr>
        <w:t>on weighti</w:t>
      </w:r>
      <w:r w:rsidR="00287D48" w:rsidRPr="008334EB">
        <w:rPr>
          <w:rFonts w:ascii="Arial" w:hAnsi="Arial" w:cs="Arial"/>
        </w:rPr>
        <w:t>ng</w:t>
      </w:r>
    </w:p>
    <w:p w14:paraId="1CFF08D7" w14:textId="77777777" w:rsidR="005F5EE3" w:rsidRDefault="005F5EE3" w:rsidP="001007B8">
      <w:pPr>
        <w:pStyle w:val="ListParagraph"/>
        <w:spacing w:before="120" w:after="0"/>
        <w:ind w:left="851"/>
        <w:rPr>
          <w:rFonts w:ascii="Arial" w:hAnsi="Arial" w:cs="Arial"/>
        </w:rPr>
      </w:pPr>
    </w:p>
    <w:p w14:paraId="307A8D02" w14:textId="6A1E4026" w:rsidR="006811E5" w:rsidRDefault="008334EB" w:rsidP="006811E5">
      <w:pPr>
        <w:pStyle w:val="ListParagraph"/>
        <w:numPr>
          <w:ilvl w:val="0"/>
          <w:numId w:val="7"/>
        </w:numPr>
        <w:spacing w:before="120" w:after="0"/>
        <w:ind w:left="851"/>
        <w:rPr>
          <w:rFonts w:ascii="Arial" w:hAnsi="Arial" w:cs="Arial"/>
        </w:rPr>
      </w:pPr>
      <w:r>
        <w:rPr>
          <w:rFonts w:ascii="Arial" w:hAnsi="Arial" w:cs="Arial"/>
        </w:rPr>
        <w:t xml:space="preserve">Using house prices as a proxy for high cost of living </w:t>
      </w:r>
      <w:r w:rsidR="002F591E">
        <w:rPr>
          <w:rFonts w:ascii="Arial" w:hAnsi="Arial" w:cs="Arial"/>
        </w:rPr>
        <w:t xml:space="preserve">areas </w:t>
      </w:r>
      <w:r w:rsidR="00E03F83">
        <w:rPr>
          <w:rFonts w:ascii="Arial" w:hAnsi="Arial" w:cs="Arial"/>
        </w:rPr>
        <w:t xml:space="preserve">illustrates </w:t>
      </w:r>
      <w:r w:rsidR="00C95D65">
        <w:rPr>
          <w:rFonts w:ascii="Arial" w:hAnsi="Arial" w:cs="Arial"/>
        </w:rPr>
        <w:t>some of the logic of con</w:t>
      </w:r>
      <w:r w:rsidR="008C23D0">
        <w:rPr>
          <w:rFonts w:ascii="Arial" w:hAnsi="Arial" w:cs="Arial"/>
        </w:rPr>
        <w:t>s</w:t>
      </w:r>
      <w:r w:rsidR="00C95D65">
        <w:rPr>
          <w:rFonts w:ascii="Arial" w:hAnsi="Arial" w:cs="Arial"/>
        </w:rPr>
        <w:t xml:space="preserve">tructing a supplement system graded </w:t>
      </w:r>
      <w:r w:rsidR="006811E5">
        <w:rPr>
          <w:rFonts w:ascii="Arial" w:hAnsi="Arial" w:cs="Arial"/>
        </w:rPr>
        <w:t xml:space="preserve">by county proximity to Greater London. </w:t>
      </w:r>
      <w:r w:rsidR="008130BC">
        <w:rPr>
          <w:rFonts w:ascii="Arial" w:hAnsi="Arial" w:cs="Arial"/>
        </w:rPr>
        <w:t>This is a heat map of house prices from the UK House Price Index</w:t>
      </w:r>
      <w:r w:rsidR="00241144">
        <w:rPr>
          <w:rFonts w:ascii="Arial" w:hAnsi="Arial" w:cs="Arial"/>
        </w:rPr>
        <w:t>.</w:t>
      </w:r>
    </w:p>
    <w:p w14:paraId="68805047" w14:textId="77777777" w:rsidR="006811E5" w:rsidRPr="006811E5" w:rsidRDefault="006811E5" w:rsidP="006811E5">
      <w:pPr>
        <w:pStyle w:val="ListParagraph"/>
        <w:rPr>
          <w:rFonts w:ascii="Arial" w:hAnsi="Arial" w:cs="Arial"/>
        </w:rPr>
      </w:pPr>
    </w:p>
    <w:p w14:paraId="4FEEA4D4" w14:textId="5CAAE800" w:rsidR="008A211D" w:rsidRPr="00241144" w:rsidRDefault="008A211D" w:rsidP="00241144">
      <w:pPr>
        <w:spacing w:before="120" w:after="0"/>
        <w:rPr>
          <w:rFonts w:ascii="Arial" w:hAnsi="Arial" w:cs="Arial"/>
        </w:rPr>
      </w:pPr>
    </w:p>
    <w:p w14:paraId="2A8FB051" w14:textId="656BE7B8" w:rsidR="001007B8" w:rsidRPr="001007B8" w:rsidRDefault="001007B8" w:rsidP="001007B8">
      <w:pPr>
        <w:spacing w:before="120" w:after="0"/>
        <w:rPr>
          <w:rFonts w:ascii="Arial" w:hAnsi="Arial" w:cs="Arial"/>
        </w:rPr>
      </w:pPr>
      <w:r>
        <w:rPr>
          <w:noProof/>
        </w:rPr>
        <w:lastRenderedPageBreak/>
        <w:drawing>
          <wp:inline distT="0" distB="0" distL="0" distR="0" wp14:anchorId="77A564F1" wp14:editId="1F1E6F5C">
            <wp:extent cx="5396230" cy="3597275"/>
            <wp:effectExtent l="0" t="0" r="0" b="3175"/>
            <wp:docPr id="2"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3597275"/>
                    </a:xfrm>
                    <a:prstGeom prst="rect">
                      <a:avLst/>
                    </a:prstGeom>
                    <a:noFill/>
                    <a:ln>
                      <a:noFill/>
                    </a:ln>
                  </pic:spPr>
                </pic:pic>
              </a:graphicData>
            </a:graphic>
          </wp:inline>
        </w:drawing>
      </w:r>
    </w:p>
    <w:p w14:paraId="62896D37" w14:textId="77777777" w:rsidR="00C413BF" w:rsidRDefault="00C413BF" w:rsidP="008632D8">
      <w:pPr>
        <w:pStyle w:val="ListParagraph"/>
        <w:spacing w:before="120" w:after="0"/>
        <w:ind w:left="851"/>
        <w:rPr>
          <w:rFonts w:ascii="Arial" w:hAnsi="Arial" w:cs="Arial"/>
        </w:rPr>
      </w:pPr>
    </w:p>
    <w:p w14:paraId="2E6A0782" w14:textId="7E9DB217" w:rsidR="00BC0997" w:rsidRDefault="00BC0997" w:rsidP="00BC0997">
      <w:pPr>
        <w:rPr>
          <w:rFonts w:ascii="Arial" w:hAnsi="Arial" w:cs="Arial"/>
          <w:b/>
        </w:rPr>
      </w:pPr>
      <w:r>
        <w:rPr>
          <w:rFonts w:ascii="Arial" w:hAnsi="Arial" w:cs="Arial"/>
          <w:b/>
        </w:rPr>
        <w:t>3.  COMPARATIVE HOUSING COSTS</w:t>
      </w:r>
    </w:p>
    <w:p w14:paraId="34AED4AD" w14:textId="77777777" w:rsidR="00BC0997" w:rsidRDefault="00BC0997" w:rsidP="00BC0997">
      <w:pPr>
        <w:spacing w:after="0"/>
        <w:rPr>
          <w:rFonts w:ascii="Arial" w:hAnsi="Arial" w:cs="Arial"/>
          <w:bCs/>
        </w:rPr>
      </w:pPr>
      <w:r>
        <w:rPr>
          <w:rFonts w:ascii="Arial" w:hAnsi="Arial" w:cs="Arial"/>
          <w:bCs/>
        </w:rPr>
        <w:t>The UK House Price Index, published by HM House Registry, has consistently shown us how house prices are higher in the South East of England than anywhere in the UK outside of London.</w:t>
      </w:r>
    </w:p>
    <w:p w14:paraId="3221D182" w14:textId="77777777" w:rsidR="00BC0997" w:rsidRDefault="00BC0997" w:rsidP="00BC0997">
      <w:pPr>
        <w:spacing w:after="0"/>
        <w:rPr>
          <w:rFonts w:ascii="Arial" w:hAnsi="Arial" w:cs="Arial"/>
          <w:bCs/>
        </w:rPr>
      </w:pPr>
    </w:p>
    <w:p w14:paraId="566F27D7" w14:textId="77777777" w:rsidR="00BC0997" w:rsidRDefault="00BC0997" w:rsidP="00BC0997">
      <w:pPr>
        <w:spacing w:after="0"/>
        <w:rPr>
          <w:rFonts w:ascii="Arial" w:hAnsi="Arial" w:cs="Arial"/>
          <w:bCs/>
        </w:rPr>
      </w:pPr>
      <w:r>
        <w:rPr>
          <w:rFonts w:ascii="Arial" w:hAnsi="Arial" w:cs="Arial"/>
          <w:bCs/>
        </w:rPr>
        <w:t>A table of the most recent data can be found attached in Appendix 2. What it shows us that the average house in the South East government region is £403,515. Compared to its neighbours this is 19.9% higher that the South West of England at £336,583 and 11.4% higher than the East of England at £362,197.</w:t>
      </w:r>
    </w:p>
    <w:p w14:paraId="0158451E" w14:textId="77777777" w:rsidR="00BC0997" w:rsidRDefault="00BC0997" w:rsidP="00BC0997">
      <w:pPr>
        <w:spacing w:after="0"/>
        <w:rPr>
          <w:rFonts w:ascii="Arial" w:hAnsi="Arial" w:cs="Arial"/>
          <w:bCs/>
        </w:rPr>
      </w:pPr>
    </w:p>
    <w:p w14:paraId="3260337E" w14:textId="77777777" w:rsidR="00BC0997" w:rsidRDefault="00BC0997" w:rsidP="00BC0997">
      <w:pPr>
        <w:spacing w:after="0"/>
        <w:rPr>
          <w:rFonts w:ascii="Arial" w:hAnsi="Arial" w:cs="Arial"/>
          <w:bCs/>
        </w:rPr>
      </w:pPr>
      <w:r>
        <w:rPr>
          <w:rFonts w:ascii="Arial" w:hAnsi="Arial" w:cs="Arial"/>
          <w:bCs/>
        </w:rPr>
        <w:t>Housing rental costs show a similar relative expensive for residents of the south east. Data from the October 2022 HomeLet Rental Index shows:</w:t>
      </w:r>
    </w:p>
    <w:p w14:paraId="2FA426F7" w14:textId="77777777" w:rsidR="00BC0997" w:rsidRDefault="00BC0997" w:rsidP="00BC0997">
      <w:pPr>
        <w:spacing w:after="0"/>
        <w:rPr>
          <w:rFonts w:ascii="Arial" w:hAnsi="Arial" w:cs="Arial"/>
          <w:bCs/>
        </w:rPr>
      </w:pPr>
    </w:p>
    <w:p w14:paraId="4777ADEE" w14:textId="77777777" w:rsidR="00BC0997" w:rsidRDefault="00BC0997" w:rsidP="00BC0997">
      <w:pPr>
        <w:spacing w:after="0"/>
        <w:rPr>
          <w:rFonts w:ascii="Arial" w:hAnsi="Arial" w:cs="Arial"/>
          <w:bCs/>
        </w:rPr>
      </w:pPr>
      <w:r>
        <w:rPr>
          <w:rFonts w:ascii="Arial" w:hAnsi="Arial" w:cs="Arial"/>
          <w:bCs/>
        </w:rPr>
        <w:t xml:space="preserve">South East average rental value </w:t>
      </w:r>
      <w:r>
        <w:rPr>
          <w:rFonts w:ascii="Arial" w:hAnsi="Arial" w:cs="Arial"/>
          <w:bCs/>
        </w:rPr>
        <w:tab/>
        <w:t>£1,243</w:t>
      </w:r>
    </w:p>
    <w:p w14:paraId="55585DA3" w14:textId="77777777" w:rsidR="00BC0997" w:rsidRDefault="00BC0997" w:rsidP="00BC0997">
      <w:pPr>
        <w:spacing w:after="0"/>
        <w:rPr>
          <w:rFonts w:ascii="Arial" w:hAnsi="Arial" w:cs="Arial"/>
          <w:bCs/>
        </w:rPr>
      </w:pPr>
      <w:r>
        <w:rPr>
          <w:rFonts w:ascii="Arial" w:hAnsi="Arial" w:cs="Arial"/>
          <w:bCs/>
        </w:rPr>
        <w:t xml:space="preserve">UK excluding Greater London </w:t>
      </w:r>
      <w:r>
        <w:rPr>
          <w:rFonts w:ascii="Arial" w:hAnsi="Arial" w:cs="Arial"/>
          <w:bCs/>
        </w:rPr>
        <w:tab/>
        <w:t>£   976</w:t>
      </w:r>
      <w:r>
        <w:rPr>
          <w:rFonts w:ascii="Arial" w:hAnsi="Arial" w:cs="Arial"/>
          <w:bCs/>
        </w:rPr>
        <w:tab/>
      </w:r>
    </w:p>
    <w:p w14:paraId="3A0D1407" w14:textId="77777777" w:rsidR="00BC0997" w:rsidRDefault="00BC0997" w:rsidP="00BC0997">
      <w:pPr>
        <w:spacing w:after="0"/>
        <w:rPr>
          <w:rFonts w:ascii="Arial" w:hAnsi="Arial" w:cs="Arial"/>
          <w:bCs/>
        </w:rPr>
      </w:pPr>
      <w:r>
        <w:rPr>
          <w:rFonts w:ascii="Arial" w:hAnsi="Arial" w:cs="Arial"/>
          <w:bCs/>
        </w:rPr>
        <w:t>East of England</w:t>
      </w:r>
      <w:r>
        <w:rPr>
          <w:rFonts w:ascii="Arial" w:hAnsi="Arial" w:cs="Arial"/>
          <w:bCs/>
        </w:rPr>
        <w:tab/>
      </w:r>
      <w:r>
        <w:rPr>
          <w:rFonts w:ascii="Arial" w:hAnsi="Arial" w:cs="Arial"/>
          <w:bCs/>
        </w:rPr>
        <w:tab/>
      </w:r>
      <w:r>
        <w:rPr>
          <w:rFonts w:ascii="Arial" w:hAnsi="Arial" w:cs="Arial"/>
          <w:bCs/>
        </w:rPr>
        <w:tab/>
        <w:t>£1,108</w:t>
      </w:r>
    </w:p>
    <w:p w14:paraId="22C613E8" w14:textId="77777777" w:rsidR="00BC0997" w:rsidRDefault="00BC0997" w:rsidP="00BC0997">
      <w:pPr>
        <w:spacing w:after="0"/>
        <w:rPr>
          <w:rFonts w:ascii="Arial" w:hAnsi="Arial" w:cs="Arial"/>
          <w:bCs/>
        </w:rPr>
      </w:pPr>
      <w:r>
        <w:rPr>
          <w:rFonts w:ascii="Arial" w:hAnsi="Arial" w:cs="Arial"/>
          <w:bCs/>
        </w:rPr>
        <w:t>South West</w:t>
      </w:r>
      <w:r>
        <w:rPr>
          <w:rFonts w:ascii="Arial" w:hAnsi="Arial" w:cs="Arial"/>
          <w:bCs/>
        </w:rPr>
        <w:tab/>
      </w:r>
      <w:r>
        <w:rPr>
          <w:rFonts w:ascii="Arial" w:hAnsi="Arial" w:cs="Arial"/>
          <w:bCs/>
        </w:rPr>
        <w:tab/>
      </w:r>
      <w:r>
        <w:rPr>
          <w:rFonts w:ascii="Arial" w:hAnsi="Arial" w:cs="Arial"/>
          <w:bCs/>
        </w:rPr>
        <w:tab/>
      </w:r>
      <w:r>
        <w:rPr>
          <w:rFonts w:ascii="Arial" w:hAnsi="Arial" w:cs="Arial"/>
          <w:bCs/>
        </w:rPr>
        <w:tab/>
        <w:t>£1,086</w:t>
      </w:r>
    </w:p>
    <w:p w14:paraId="23F66A13" w14:textId="77777777" w:rsidR="00BC0997" w:rsidRDefault="00BC0997" w:rsidP="00BC0997">
      <w:pPr>
        <w:spacing w:after="0"/>
        <w:rPr>
          <w:rFonts w:ascii="Arial" w:hAnsi="Arial" w:cs="Arial"/>
          <w:bCs/>
        </w:rPr>
      </w:pPr>
    </w:p>
    <w:p w14:paraId="3F50169F" w14:textId="58C477E2" w:rsidR="00BC0997" w:rsidRDefault="00BC0997" w:rsidP="00BC0997">
      <w:pPr>
        <w:pStyle w:val="NoSpacing"/>
        <w:rPr>
          <w:rFonts w:ascii="Arial" w:hAnsi="Arial" w:cs="Arial"/>
        </w:rPr>
      </w:pPr>
      <w:r w:rsidRPr="00AD1F13">
        <w:rPr>
          <w:rFonts w:ascii="Arial" w:hAnsi="Arial" w:cs="Arial"/>
        </w:rPr>
        <w:t>From this we can see that South East average housing rental costs are 27% higher than the UK excluding Greater London, 14.5% higher than in the South West and 12.2% higher than the East of England.</w:t>
      </w:r>
    </w:p>
    <w:p w14:paraId="0437ED53" w14:textId="709842EB" w:rsidR="007464E6" w:rsidRDefault="007464E6" w:rsidP="00BC0997">
      <w:pPr>
        <w:pStyle w:val="NoSpacing"/>
        <w:rPr>
          <w:rFonts w:ascii="Arial" w:hAnsi="Arial" w:cs="Arial"/>
        </w:rPr>
      </w:pPr>
    </w:p>
    <w:p w14:paraId="1C4C334D" w14:textId="162BDC29" w:rsidR="007464E6" w:rsidRDefault="007464E6" w:rsidP="00BC0997">
      <w:pPr>
        <w:pStyle w:val="NoSpacing"/>
        <w:rPr>
          <w:rFonts w:ascii="Arial" w:hAnsi="Arial" w:cs="Arial"/>
        </w:rPr>
      </w:pPr>
    </w:p>
    <w:p w14:paraId="2BA9D53B" w14:textId="2D660516" w:rsidR="002F7392" w:rsidRDefault="002F7392" w:rsidP="00BC0997">
      <w:pPr>
        <w:pStyle w:val="NoSpacing"/>
        <w:rPr>
          <w:rFonts w:ascii="Arial" w:hAnsi="Arial" w:cs="Arial"/>
        </w:rPr>
      </w:pPr>
    </w:p>
    <w:p w14:paraId="3DDDEFDD" w14:textId="77777777" w:rsidR="002F7392" w:rsidRDefault="002F7392" w:rsidP="00BC0997">
      <w:pPr>
        <w:pStyle w:val="NoSpacing"/>
        <w:rPr>
          <w:rFonts w:ascii="Arial" w:hAnsi="Arial" w:cs="Arial"/>
        </w:rPr>
      </w:pPr>
    </w:p>
    <w:p w14:paraId="12474386" w14:textId="77777777" w:rsidR="007464E6" w:rsidRDefault="007464E6" w:rsidP="00BC0997">
      <w:pPr>
        <w:pStyle w:val="NoSpacing"/>
        <w:rPr>
          <w:rFonts w:ascii="Arial" w:hAnsi="Arial" w:cs="Arial"/>
        </w:rPr>
      </w:pPr>
    </w:p>
    <w:p w14:paraId="7E80A2AE" w14:textId="77777777" w:rsidR="00BC0997" w:rsidRDefault="00BC0997" w:rsidP="00BC0997">
      <w:pPr>
        <w:pStyle w:val="NoSpacing"/>
        <w:rPr>
          <w:rFonts w:ascii="Arial" w:hAnsi="Arial" w:cs="Arial"/>
        </w:rPr>
      </w:pPr>
    </w:p>
    <w:p w14:paraId="27EDF402" w14:textId="77777777" w:rsidR="00BC0997" w:rsidRPr="00AD1F13" w:rsidRDefault="00BC0997" w:rsidP="00BC0997">
      <w:pPr>
        <w:pStyle w:val="NoSpacing"/>
        <w:rPr>
          <w:rFonts w:ascii="Arial" w:hAnsi="Arial" w:cs="Arial"/>
        </w:rPr>
      </w:pPr>
    </w:p>
    <w:p w14:paraId="6EB6C1DF" w14:textId="140C3E28" w:rsidR="00BC0997" w:rsidRPr="00AD1F13" w:rsidRDefault="00BC0997" w:rsidP="00BC0997">
      <w:pPr>
        <w:pStyle w:val="NoSpacing"/>
        <w:rPr>
          <w:rFonts w:ascii="Arial" w:hAnsi="Arial" w:cs="Arial"/>
          <w:b/>
          <w:bCs/>
        </w:rPr>
      </w:pPr>
      <w:r>
        <w:rPr>
          <w:rFonts w:ascii="Arial" w:hAnsi="Arial" w:cs="Arial"/>
          <w:b/>
          <w:bCs/>
        </w:rPr>
        <w:t>4</w:t>
      </w:r>
      <w:r w:rsidRPr="00AD1F13">
        <w:rPr>
          <w:rFonts w:ascii="Arial" w:hAnsi="Arial" w:cs="Arial"/>
          <w:b/>
          <w:bCs/>
        </w:rPr>
        <w:t>. AVERAGE EARNINGS</w:t>
      </w:r>
    </w:p>
    <w:p w14:paraId="74387D59" w14:textId="52F613EA" w:rsidR="00BC0997" w:rsidRDefault="00BC0997" w:rsidP="00BC0997">
      <w:pPr>
        <w:pStyle w:val="NoSpacing"/>
      </w:pPr>
    </w:p>
    <w:p w14:paraId="362DAA8E" w14:textId="77777777" w:rsidR="00BC0997" w:rsidRPr="008632D8" w:rsidRDefault="00BC0997" w:rsidP="00BC0997">
      <w:pPr>
        <w:rPr>
          <w:rFonts w:ascii="Arial" w:hAnsi="Arial" w:cs="Arial"/>
        </w:rPr>
      </w:pPr>
      <w:r w:rsidRPr="008632D8">
        <w:rPr>
          <w:rFonts w:ascii="Arial" w:hAnsi="Arial" w:cs="Arial"/>
        </w:rPr>
        <w:t xml:space="preserve">The most recent Office of National Statistics ASHE annual earnings data provides strong evidence of how competitor employer salaries are higher in the South East than neighbouring regions. </w:t>
      </w:r>
    </w:p>
    <w:p w14:paraId="10F4E0BB" w14:textId="77777777" w:rsidR="00BC0997" w:rsidRDefault="00BC0997" w:rsidP="00BC0997">
      <w:pPr>
        <w:pStyle w:val="NoSpacing"/>
        <w:rPr>
          <w:rFonts w:ascii="Arial" w:hAnsi="Arial" w:cs="Arial"/>
        </w:rPr>
      </w:pPr>
      <w:r w:rsidRPr="008632D8">
        <w:rPr>
          <w:rFonts w:ascii="Arial" w:hAnsi="Arial" w:cs="Arial"/>
        </w:rPr>
        <w:t>Mean Average Full Time Earnings UK Gross Annual Pay Private Sector: ASHE Table 25</w:t>
      </w:r>
    </w:p>
    <w:p w14:paraId="1D5E22ED" w14:textId="77777777" w:rsidR="00BC0997" w:rsidRPr="008632D8" w:rsidRDefault="00BC0997" w:rsidP="00BC0997">
      <w:pPr>
        <w:pStyle w:val="NoSpacing"/>
        <w:rPr>
          <w:rFonts w:ascii="Arial" w:hAnsi="Arial" w:cs="Arial"/>
        </w:rPr>
      </w:pPr>
    </w:p>
    <w:p w14:paraId="3F6EB264" w14:textId="77777777" w:rsidR="00BC0997" w:rsidRDefault="00BC0997" w:rsidP="00BC0997">
      <w:pPr>
        <w:pStyle w:val="NoSpacing"/>
        <w:rPr>
          <w:rFonts w:ascii="Arial" w:hAnsi="Arial" w:cs="Arial"/>
        </w:rPr>
      </w:pPr>
      <w:r w:rsidRPr="00AD1F13">
        <w:rPr>
          <w:rFonts w:ascii="Arial" w:hAnsi="Arial" w:cs="Arial"/>
        </w:rPr>
        <w:t xml:space="preserve">South East </w:t>
      </w:r>
      <w:r w:rsidRPr="00AD1F13">
        <w:rPr>
          <w:rFonts w:ascii="Arial" w:hAnsi="Arial" w:cs="Arial"/>
        </w:rPr>
        <w:tab/>
      </w:r>
      <w:r w:rsidRPr="00AD1F13">
        <w:rPr>
          <w:rFonts w:ascii="Arial" w:hAnsi="Arial" w:cs="Arial"/>
        </w:rPr>
        <w:tab/>
        <w:t>- £40,263                                                                                                                                                      South West</w:t>
      </w:r>
      <w:r w:rsidRPr="00AD1F13">
        <w:rPr>
          <w:rFonts w:ascii="Arial" w:hAnsi="Arial" w:cs="Arial"/>
        </w:rPr>
        <w:tab/>
      </w:r>
      <w:r w:rsidRPr="00AD1F13">
        <w:rPr>
          <w:rFonts w:ascii="Arial" w:hAnsi="Arial" w:cs="Arial"/>
        </w:rPr>
        <w:tab/>
        <w:t>- £33,778                                                                                                                        East of England</w:t>
      </w:r>
      <w:r w:rsidRPr="00AD1F13">
        <w:rPr>
          <w:rFonts w:ascii="Arial" w:hAnsi="Arial" w:cs="Arial"/>
        </w:rPr>
        <w:tab/>
        <w:t>- £37,091</w:t>
      </w:r>
    </w:p>
    <w:p w14:paraId="14BE8D6F" w14:textId="77777777" w:rsidR="00BC0997" w:rsidRPr="00AD1F13" w:rsidRDefault="00BC0997" w:rsidP="00BC0997">
      <w:pPr>
        <w:pStyle w:val="NoSpacing"/>
        <w:rPr>
          <w:rFonts w:ascii="Arial" w:hAnsi="Arial" w:cs="Arial"/>
        </w:rPr>
      </w:pPr>
    </w:p>
    <w:p w14:paraId="6D448C66" w14:textId="77777777" w:rsidR="00BC0997" w:rsidRPr="00AD1F13" w:rsidRDefault="00BC0997" w:rsidP="00BC0997">
      <w:pPr>
        <w:pStyle w:val="NoSpacing"/>
        <w:spacing w:line="276" w:lineRule="auto"/>
        <w:rPr>
          <w:rFonts w:ascii="Arial" w:hAnsi="Arial" w:cs="Arial"/>
        </w:rPr>
      </w:pPr>
      <w:r w:rsidRPr="00AD1F13">
        <w:rPr>
          <w:rFonts w:ascii="Arial" w:hAnsi="Arial" w:cs="Arial"/>
        </w:rPr>
        <w:t>From this data we can see how competitor private sector earnings are 19.2% higher in the south east compare</w:t>
      </w:r>
      <w:r>
        <w:rPr>
          <w:rFonts w:ascii="Arial" w:hAnsi="Arial" w:cs="Arial"/>
        </w:rPr>
        <w:t>d</w:t>
      </w:r>
      <w:r w:rsidRPr="00AD1F13">
        <w:rPr>
          <w:rFonts w:ascii="Arial" w:hAnsi="Arial" w:cs="Arial"/>
        </w:rPr>
        <w:t xml:space="preserve"> to the south west and 8.6% higher than in the East of England.</w:t>
      </w:r>
    </w:p>
    <w:p w14:paraId="79CB2448" w14:textId="77777777" w:rsidR="00BC0997" w:rsidRDefault="00BC0997" w:rsidP="00BC0997">
      <w:pPr>
        <w:pStyle w:val="NoSpacing"/>
      </w:pPr>
    </w:p>
    <w:p w14:paraId="013BC87C" w14:textId="6D86E6EE" w:rsidR="00BC0997" w:rsidRDefault="00BC0997" w:rsidP="00BC0997">
      <w:pPr>
        <w:pStyle w:val="NoSpacing"/>
        <w:spacing w:line="276" w:lineRule="auto"/>
        <w:rPr>
          <w:rFonts w:ascii="Arial" w:hAnsi="Arial" w:cs="Arial"/>
        </w:rPr>
      </w:pPr>
      <w:r w:rsidRPr="008632D8">
        <w:rPr>
          <w:rFonts w:ascii="Arial" w:hAnsi="Arial" w:cs="Arial"/>
        </w:rPr>
        <w:t>It is worth noting that whilst this is the most up to date official data it relates to 2021. We know that the pay gap between the private and public sector has widened since then and, therefore, the attractiveness of salaries in the private sector in the south east, compare</w:t>
      </w:r>
      <w:r>
        <w:rPr>
          <w:rFonts w:ascii="Arial" w:hAnsi="Arial" w:cs="Arial"/>
        </w:rPr>
        <w:t>d</w:t>
      </w:r>
      <w:r w:rsidRPr="008632D8">
        <w:rPr>
          <w:rFonts w:ascii="Arial" w:hAnsi="Arial" w:cs="Arial"/>
        </w:rPr>
        <w:t xml:space="preserve"> to the Probation Service, is going to have increased.</w:t>
      </w:r>
    </w:p>
    <w:p w14:paraId="6B5626E7" w14:textId="77777777" w:rsidR="00BC0997" w:rsidRDefault="00BC0997" w:rsidP="00BC0997">
      <w:pPr>
        <w:pStyle w:val="NoSpacing"/>
        <w:spacing w:line="276" w:lineRule="auto"/>
        <w:rPr>
          <w:rFonts w:ascii="Arial" w:hAnsi="Arial" w:cs="Arial"/>
        </w:rPr>
      </w:pPr>
    </w:p>
    <w:p w14:paraId="5C9418F7" w14:textId="30CBFBFC" w:rsidR="007464E6" w:rsidRPr="007464E6" w:rsidRDefault="00AC65BA" w:rsidP="00ED0425">
      <w:pPr>
        <w:rPr>
          <w:rFonts w:ascii="Arial" w:hAnsi="Arial" w:cs="Arial"/>
          <w:b/>
        </w:rPr>
      </w:pPr>
      <w:r>
        <w:rPr>
          <w:rFonts w:ascii="Arial" w:hAnsi="Arial" w:cs="Arial"/>
          <w:b/>
        </w:rPr>
        <w:t xml:space="preserve">5. </w:t>
      </w:r>
      <w:r w:rsidR="00FD7F32">
        <w:rPr>
          <w:rFonts w:ascii="Arial" w:hAnsi="Arial" w:cs="Arial"/>
          <w:b/>
        </w:rPr>
        <w:t>MARKET SUPPLEMENTS CONTINUE IN PRISONS</w:t>
      </w:r>
    </w:p>
    <w:p w14:paraId="26001C72" w14:textId="1C8EC139" w:rsidR="005B26B8" w:rsidRDefault="005B26B8" w:rsidP="003B08FC">
      <w:pPr>
        <w:pStyle w:val="NormalIndent"/>
        <w:tabs>
          <w:tab w:val="left" w:pos="-270"/>
        </w:tabs>
        <w:spacing w:line="276" w:lineRule="auto"/>
        <w:ind w:left="0"/>
        <w:rPr>
          <w:rFonts w:cs="Arial"/>
          <w:bCs/>
          <w:sz w:val="22"/>
          <w:szCs w:val="22"/>
        </w:rPr>
      </w:pPr>
      <w:r w:rsidRPr="00DD324E">
        <w:rPr>
          <w:rFonts w:cs="Arial"/>
          <w:bCs/>
          <w:sz w:val="22"/>
          <w:szCs w:val="22"/>
        </w:rPr>
        <w:t xml:space="preserve">Providing </w:t>
      </w:r>
      <w:r w:rsidR="002D39C3" w:rsidRPr="00DD324E">
        <w:rPr>
          <w:rFonts w:cs="Arial"/>
          <w:bCs/>
          <w:sz w:val="22"/>
          <w:szCs w:val="22"/>
        </w:rPr>
        <w:t xml:space="preserve">additional pay supplements to Prison </w:t>
      </w:r>
      <w:r w:rsidR="000D7EEC" w:rsidRPr="00DD324E">
        <w:rPr>
          <w:rFonts w:cs="Arial"/>
          <w:bCs/>
          <w:sz w:val="22"/>
          <w:szCs w:val="22"/>
        </w:rPr>
        <w:t xml:space="preserve">Service staff </w:t>
      </w:r>
      <w:r w:rsidR="00DD324E" w:rsidRPr="00DD324E">
        <w:rPr>
          <w:rFonts w:cs="Arial"/>
          <w:bCs/>
          <w:sz w:val="22"/>
          <w:szCs w:val="22"/>
        </w:rPr>
        <w:t xml:space="preserve">within the HMPSS. In it’s </w:t>
      </w:r>
      <w:r w:rsidR="00DD324E">
        <w:rPr>
          <w:rFonts w:cs="Arial"/>
          <w:bCs/>
          <w:sz w:val="22"/>
          <w:szCs w:val="22"/>
        </w:rPr>
        <w:t xml:space="preserve">submission to </w:t>
      </w:r>
      <w:r w:rsidR="00DC414E">
        <w:rPr>
          <w:rFonts w:cs="Arial"/>
          <w:bCs/>
          <w:sz w:val="22"/>
          <w:szCs w:val="22"/>
        </w:rPr>
        <w:t xml:space="preserve">the </w:t>
      </w:r>
      <w:r w:rsidR="00DE72A6">
        <w:rPr>
          <w:rFonts w:cs="Arial"/>
          <w:bCs/>
          <w:sz w:val="22"/>
          <w:szCs w:val="22"/>
        </w:rPr>
        <w:t xml:space="preserve">most recent </w:t>
      </w:r>
      <w:r w:rsidR="00DC414E">
        <w:rPr>
          <w:rFonts w:cs="Arial"/>
          <w:bCs/>
          <w:sz w:val="22"/>
          <w:szCs w:val="22"/>
        </w:rPr>
        <w:t>Prison Service Pay Review Body</w:t>
      </w:r>
      <w:r w:rsidR="00FA029B">
        <w:rPr>
          <w:rFonts w:cs="Arial"/>
          <w:bCs/>
          <w:sz w:val="22"/>
          <w:szCs w:val="22"/>
        </w:rPr>
        <w:t xml:space="preserve"> (PSPRB)</w:t>
      </w:r>
      <w:r w:rsidR="00DC414E">
        <w:rPr>
          <w:rFonts w:cs="Arial"/>
          <w:bCs/>
          <w:sz w:val="22"/>
          <w:szCs w:val="22"/>
        </w:rPr>
        <w:t xml:space="preserve"> </w:t>
      </w:r>
      <w:r w:rsidR="0003558F">
        <w:rPr>
          <w:rFonts w:cs="Arial"/>
          <w:bCs/>
          <w:sz w:val="22"/>
          <w:szCs w:val="22"/>
        </w:rPr>
        <w:t xml:space="preserve">deliberations HMPSS asserted that “with regard to </w:t>
      </w:r>
      <w:r w:rsidR="005A1119">
        <w:rPr>
          <w:rFonts w:cs="Arial"/>
          <w:bCs/>
          <w:sz w:val="22"/>
          <w:szCs w:val="22"/>
        </w:rPr>
        <w:t xml:space="preserve">local and geographical variation, we remain committeed to the targeted </w:t>
      </w:r>
      <w:r w:rsidR="005F1110">
        <w:rPr>
          <w:rFonts w:cs="Arial"/>
          <w:bCs/>
          <w:sz w:val="22"/>
          <w:szCs w:val="22"/>
        </w:rPr>
        <w:t xml:space="preserve">approach offered by the use of Market Supplements across a range </w:t>
      </w:r>
      <w:r w:rsidR="00B47711">
        <w:rPr>
          <w:rFonts w:cs="Arial"/>
          <w:bCs/>
          <w:sz w:val="22"/>
          <w:szCs w:val="22"/>
        </w:rPr>
        <w:t>of sites where the pay drivers of recruitment and retention challenges are most acute</w:t>
      </w:r>
      <w:r w:rsidR="001E7E38">
        <w:rPr>
          <w:rFonts w:cs="Arial"/>
          <w:bCs/>
          <w:sz w:val="22"/>
          <w:szCs w:val="22"/>
        </w:rPr>
        <w:t>.”</w:t>
      </w:r>
    </w:p>
    <w:p w14:paraId="6C415736" w14:textId="21BB9A65" w:rsidR="00924749" w:rsidRDefault="00924749" w:rsidP="003B08FC">
      <w:pPr>
        <w:pStyle w:val="NormalIndent"/>
        <w:tabs>
          <w:tab w:val="left" w:pos="-270"/>
        </w:tabs>
        <w:spacing w:line="276" w:lineRule="auto"/>
        <w:ind w:left="0"/>
        <w:rPr>
          <w:rFonts w:cs="Arial"/>
          <w:bCs/>
          <w:sz w:val="22"/>
          <w:szCs w:val="22"/>
        </w:rPr>
      </w:pPr>
    </w:p>
    <w:p w14:paraId="3D5A0A74" w14:textId="47DC585D" w:rsidR="00FA029B" w:rsidRDefault="00924749" w:rsidP="003B08FC">
      <w:pPr>
        <w:pStyle w:val="NormalIndent"/>
        <w:tabs>
          <w:tab w:val="left" w:pos="-270"/>
        </w:tabs>
        <w:spacing w:line="276" w:lineRule="auto"/>
        <w:ind w:left="0"/>
        <w:rPr>
          <w:rFonts w:cs="Arial"/>
          <w:bCs/>
          <w:sz w:val="22"/>
          <w:szCs w:val="22"/>
        </w:rPr>
      </w:pPr>
      <w:r>
        <w:rPr>
          <w:rFonts w:cs="Arial"/>
          <w:bCs/>
          <w:sz w:val="22"/>
          <w:szCs w:val="22"/>
        </w:rPr>
        <w:t>Additionally</w:t>
      </w:r>
      <w:r w:rsidR="00957373">
        <w:rPr>
          <w:rFonts w:cs="Arial"/>
          <w:bCs/>
          <w:sz w:val="22"/>
          <w:szCs w:val="22"/>
        </w:rPr>
        <w:t>,</w:t>
      </w:r>
      <w:r w:rsidR="00FA029B">
        <w:rPr>
          <w:rFonts w:cs="Arial"/>
          <w:bCs/>
          <w:sz w:val="22"/>
          <w:szCs w:val="22"/>
        </w:rPr>
        <w:t xml:space="preserve"> in</w:t>
      </w:r>
      <w:r w:rsidR="00957373">
        <w:rPr>
          <w:rFonts w:cs="Arial"/>
          <w:bCs/>
          <w:sz w:val="22"/>
          <w:szCs w:val="22"/>
        </w:rPr>
        <w:t xml:space="preserve"> HMPSS’s submission to the P</w:t>
      </w:r>
      <w:r w:rsidR="00FA029B">
        <w:rPr>
          <w:rFonts w:cs="Arial"/>
          <w:bCs/>
          <w:sz w:val="22"/>
          <w:szCs w:val="22"/>
        </w:rPr>
        <w:t xml:space="preserve">SPRB it states </w:t>
      </w:r>
      <w:r w:rsidR="006A0076">
        <w:rPr>
          <w:rFonts w:cs="Arial"/>
          <w:bCs/>
          <w:sz w:val="22"/>
          <w:szCs w:val="22"/>
        </w:rPr>
        <w:t xml:space="preserve">“We continue to see a need for their </w:t>
      </w:r>
      <w:r w:rsidR="00B5106B">
        <w:rPr>
          <w:rFonts w:cs="Arial"/>
          <w:bCs/>
          <w:sz w:val="22"/>
          <w:szCs w:val="22"/>
        </w:rPr>
        <w:t>(</w:t>
      </w:r>
      <w:r w:rsidR="00E67890">
        <w:rPr>
          <w:rFonts w:cs="Arial"/>
          <w:bCs/>
          <w:sz w:val="22"/>
          <w:szCs w:val="22"/>
        </w:rPr>
        <w:t>M</w:t>
      </w:r>
      <w:r w:rsidR="00B5106B">
        <w:rPr>
          <w:rFonts w:cs="Arial"/>
          <w:bCs/>
          <w:sz w:val="22"/>
          <w:szCs w:val="22"/>
        </w:rPr>
        <w:t xml:space="preserve">arket Supplements) </w:t>
      </w:r>
      <w:r w:rsidR="006A0076">
        <w:rPr>
          <w:rFonts w:cs="Arial"/>
          <w:bCs/>
          <w:sz w:val="22"/>
          <w:szCs w:val="22"/>
        </w:rPr>
        <w:t>use</w:t>
      </w:r>
      <w:r w:rsidR="00B5106B">
        <w:rPr>
          <w:rFonts w:cs="Arial"/>
          <w:bCs/>
          <w:sz w:val="22"/>
          <w:szCs w:val="22"/>
        </w:rPr>
        <w:t>. However</w:t>
      </w:r>
      <w:r w:rsidR="00E67890">
        <w:rPr>
          <w:rFonts w:cs="Arial"/>
          <w:bCs/>
          <w:sz w:val="22"/>
          <w:szCs w:val="22"/>
        </w:rPr>
        <w:t>, we acknowledge</w:t>
      </w:r>
      <w:r w:rsidR="00564DC2">
        <w:rPr>
          <w:rFonts w:cs="Arial"/>
          <w:bCs/>
          <w:sz w:val="22"/>
          <w:szCs w:val="22"/>
        </w:rPr>
        <w:t xml:space="preserve"> the PSPRB’s concerns around the impact on overall</w:t>
      </w:r>
      <w:r w:rsidR="00A74571">
        <w:rPr>
          <w:rFonts w:cs="Arial"/>
          <w:bCs/>
          <w:sz w:val="22"/>
          <w:szCs w:val="22"/>
        </w:rPr>
        <w:t xml:space="preserve"> pay structure and recognises the need for nation-wide inveastment </w:t>
      </w:r>
      <w:r w:rsidR="001101CC">
        <w:rPr>
          <w:rFonts w:cs="Arial"/>
          <w:bCs/>
          <w:sz w:val="22"/>
          <w:szCs w:val="22"/>
        </w:rPr>
        <w:t>in pay to make the Prison O</w:t>
      </w:r>
      <w:r w:rsidR="008125A6">
        <w:rPr>
          <w:rFonts w:cs="Arial"/>
          <w:bCs/>
          <w:sz w:val="22"/>
          <w:szCs w:val="22"/>
        </w:rPr>
        <w:t>f</w:t>
      </w:r>
      <w:r w:rsidR="001101CC">
        <w:rPr>
          <w:rFonts w:cs="Arial"/>
          <w:bCs/>
          <w:sz w:val="22"/>
          <w:szCs w:val="22"/>
        </w:rPr>
        <w:t>ficer role</w:t>
      </w:r>
      <w:r w:rsidR="000D0C21">
        <w:rPr>
          <w:rFonts w:cs="Arial"/>
          <w:bCs/>
          <w:sz w:val="22"/>
          <w:szCs w:val="22"/>
        </w:rPr>
        <w:t xml:space="preserve"> more maket facing.” Explicitly accepting the need for market supplements </w:t>
      </w:r>
      <w:r w:rsidR="00F87980">
        <w:rPr>
          <w:rFonts w:cs="Arial"/>
          <w:bCs/>
          <w:sz w:val="22"/>
          <w:szCs w:val="22"/>
        </w:rPr>
        <w:t>until nationwide pay increase</w:t>
      </w:r>
      <w:r w:rsidR="008125A6">
        <w:rPr>
          <w:rFonts w:cs="Arial"/>
          <w:bCs/>
          <w:sz w:val="22"/>
          <w:szCs w:val="22"/>
        </w:rPr>
        <w:t>s</w:t>
      </w:r>
      <w:r w:rsidR="00F87980">
        <w:rPr>
          <w:rFonts w:cs="Arial"/>
          <w:bCs/>
          <w:sz w:val="22"/>
          <w:szCs w:val="22"/>
        </w:rPr>
        <w:t xml:space="preserve"> can be </w:t>
      </w:r>
      <w:r w:rsidR="009E4E8E">
        <w:rPr>
          <w:rFonts w:cs="Arial"/>
          <w:bCs/>
          <w:sz w:val="22"/>
          <w:szCs w:val="22"/>
        </w:rPr>
        <w:t xml:space="preserve">delivered making the role more attractive in the labour </w:t>
      </w:r>
      <w:r w:rsidR="00C3436F">
        <w:rPr>
          <w:rFonts w:cs="Arial"/>
          <w:bCs/>
          <w:sz w:val="22"/>
          <w:szCs w:val="22"/>
        </w:rPr>
        <w:t>market.</w:t>
      </w:r>
    </w:p>
    <w:p w14:paraId="6B36B6C2" w14:textId="2D0E1B8D" w:rsidR="00C3436F" w:rsidRDefault="00C3436F" w:rsidP="003B08FC">
      <w:pPr>
        <w:pStyle w:val="NormalIndent"/>
        <w:tabs>
          <w:tab w:val="left" w:pos="-270"/>
        </w:tabs>
        <w:spacing w:line="276" w:lineRule="auto"/>
        <w:ind w:left="0"/>
        <w:rPr>
          <w:rFonts w:cs="Arial"/>
          <w:bCs/>
          <w:sz w:val="22"/>
          <w:szCs w:val="22"/>
        </w:rPr>
      </w:pPr>
    </w:p>
    <w:p w14:paraId="1143B96E" w14:textId="27D68B52" w:rsidR="00C3436F" w:rsidRDefault="004C7D34" w:rsidP="003B08FC">
      <w:pPr>
        <w:pStyle w:val="NormalIndent"/>
        <w:tabs>
          <w:tab w:val="left" w:pos="-270"/>
        </w:tabs>
        <w:spacing w:line="276" w:lineRule="auto"/>
        <w:ind w:left="0"/>
        <w:rPr>
          <w:rFonts w:cs="Arial"/>
          <w:bCs/>
          <w:sz w:val="22"/>
          <w:szCs w:val="22"/>
        </w:rPr>
      </w:pPr>
      <w:r>
        <w:rPr>
          <w:rFonts w:cs="Arial"/>
          <w:bCs/>
          <w:sz w:val="22"/>
          <w:szCs w:val="22"/>
        </w:rPr>
        <w:t xml:space="preserve">Far from reducing the </w:t>
      </w:r>
      <w:r w:rsidR="0040278A">
        <w:rPr>
          <w:rFonts w:cs="Arial"/>
          <w:bCs/>
          <w:sz w:val="22"/>
          <w:szCs w:val="22"/>
        </w:rPr>
        <w:t xml:space="preserve">reliance on market value supplements the PSPRB </w:t>
      </w:r>
      <w:r w:rsidR="001C34E9">
        <w:rPr>
          <w:rFonts w:cs="Arial"/>
          <w:bCs/>
          <w:sz w:val="22"/>
          <w:szCs w:val="22"/>
        </w:rPr>
        <w:t>was informed by the HMPPS that they would be expanding geo</w:t>
      </w:r>
      <w:r w:rsidR="00A1330B">
        <w:rPr>
          <w:rFonts w:cs="Arial"/>
          <w:bCs/>
          <w:sz w:val="22"/>
          <w:szCs w:val="22"/>
        </w:rPr>
        <w:t>graphical scope of the market supplements</w:t>
      </w:r>
      <w:r w:rsidR="0088036B">
        <w:rPr>
          <w:rFonts w:cs="Arial"/>
          <w:bCs/>
          <w:sz w:val="22"/>
          <w:szCs w:val="22"/>
        </w:rPr>
        <w:t xml:space="preserve"> from 31 establishments to </w:t>
      </w:r>
      <w:r w:rsidR="009D1E8A">
        <w:rPr>
          <w:rFonts w:cs="Arial"/>
          <w:bCs/>
          <w:sz w:val="22"/>
          <w:szCs w:val="22"/>
        </w:rPr>
        <w:t>41 sites</w:t>
      </w:r>
      <w:r w:rsidR="007C1A3F">
        <w:rPr>
          <w:rFonts w:cs="Arial"/>
          <w:bCs/>
          <w:sz w:val="22"/>
          <w:szCs w:val="22"/>
        </w:rPr>
        <w:t xml:space="preserve">. </w:t>
      </w:r>
    </w:p>
    <w:p w14:paraId="5C626F0A" w14:textId="474ABE01" w:rsidR="007C1A3F" w:rsidRDefault="007C1A3F" w:rsidP="003B08FC">
      <w:pPr>
        <w:pStyle w:val="NormalIndent"/>
        <w:tabs>
          <w:tab w:val="left" w:pos="-270"/>
        </w:tabs>
        <w:spacing w:line="276" w:lineRule="auto"/>
        <w:ind w:left="0"/>
        <w:rPr>
          <w:rFonts w:cs="Arial"/>
          <w:bCs/>
          <w:sz w:val="22"/>
          <w:szCs w:val="22"/>
        </w:rPr>
      </w:pPr>
    </w:p>
    <w:p w14:paraId="1968115F" w14:textId="1C281333" w:rsidR="007C1A3F" w:rsidRDefault="00E702B6" w:rsidP="003B08FC">
      <w:pPr>
        <w:pStyle w:val="NormalIndent"/>
        <w:tabs>
          <w:tab w:val="left" w:pos="-270"/>
        </w:tabs>
        <w:spacing w:line="276" w:lineRule="auto"/>
        <w:ind w:left="0"/>
        <w:rPr>
          <w:rFonts w:cs="Arial"/>
          <w:bCs/>
          <w:sz w:val="22"/>
          <w:szCs w:val="22"/>
        </w:rPr>
      </w:pPr>
      <w:r>
        <w:rPr>
          <w:rFonts w:cs="Arial"/>
          <w:bCs/>
          <w:sz w:val="22"/>
          <w:szCs w:val="22"/>
        </w:rPr>
        <w:t>Further detail from the HMP</w:t>
      </w:r>
      <w:r w:rsidR="00FD7F32">
        <w:rPr>
          <w:rFonts w:cs="Arial"/>
          <w:bCs/>
          <w:sz w:val="22"/>
          <w:szCs w:val="22"/>
        </w:rPr>
        <w:t>P</w:t>
      </w:r>
      <w:r>
        <w:rPr>
          <w:rFonts w:cs="Arial"/>
          <w:bCs/>
          <w:sz w:val="22"/>
          <w:szCs w:val="22"/>
        </w:rPr>
        <w:t xml:space="preserve">S </w:t>
      </w:r>
      <w:r w:rsidR="00B16CF5">
        <w:rPr>
          <w:rFonts w:cs="Arial"/>
          <w:bCs/>
          <w:sz w:val="22"/>
          <w:szCs w:val="22"/>
        </w:rPr>
        <w:t>submission to the PSPRB and the PSPRB’s</w:t>
      </w:r>
      <w:r w:rsidR="009B0079">
        <w:rPr>
          <w:rFonts w:cs="Arial"/>
          <w:bCs/>
          <w:sz w:val="22"/>
          <w:szCs w:val="22"/>
        </w:rPr>
        <w:t xml:space="preserve"> 2022/23</w:t>
      </w:r>
      <w:r w:rsidR="00B16CF5">
        <w:rPr>
          <w:rFonts w:cs="Arial"/>
          <w:bCs/>
          <w:sz w:val="22"/>
          <w:szCs w:val="22"/>
        </w:rPr>
        <w:t xml:space="preserve"> Report</w:t>
      </w:r>
      <w:r w:rsidR="007B01F3">
        <w:rPr>
          <w:rFonts w:cs="Arial"/>
          <w:bCs/>
          <w:sz w:val="22"/>
          <w:szCs w:val="22"/>
        </w:rPr>
        <w:t xml:space="preserve">, </w:t>
      </w:r>
      <w:r w:rsidR="00B16CF5">
        <w:rPr>
          <w:rFonts w:cs="Arial"/>
          <w:bCs/>
          <w:sz w:val="22"/>
          <w:szCs w:val="22"/>
        </w:rPr>
        <w:t>with sections of particular interest</w:t>
      </w:r>
      <w:r w:rsidR="007B01F3">
        <w:rPr>
          <w:rFonts w:cs="Arial"/>
          <w:bCs/>
          <w:sz w:val="22"/>
          <w:szCs w:val="22"/>
        </w:rPr>
        <w:t xml:space="preserve"> highlighted,</w:t>
      </w:r>
      <w:r w:rsidR="00B16CF5">
        <w:rPr>
          <w:rFonts w:cs="Arial"/>
          <w:bCs/>
          <w:sz w:val="22"/>
          <w:szCs w:val="22"/>
        </w:rPr>
        <w:t xml:space="preserve"> are attached to this report as Appen</w:t>
      </w:r>
      <w:r w:rsidR="00331496">
        <w:rPr>
          <w:rFonts w:cs="Arial"/>
          <w:bCs/>
          <w:sz w:val="22"/>
          <w:szCs w:val="22"/>
        </w:rPr>
        <w:t>dix 1.</w:t>
      </w:r>
    </w:p>
    <w:p w14:paraId="459DCD01" w14:textId="51CE8BDC" w:rsidR="001B04B2" w:rsidRDefault="001B04B2" w:rsidP="003B08FC">
      <w:pPr>
        <w:pStyle w:val="NormalIndent"/>
        <w:tabs>
          <w:tab w:val="left" w:pos="-270"/>
        </w:tabs>
        <w:spacing w:line="276" w:lineRule="auto"/>
        <w:ind w:left="0"/>
        <w:rPr>
          <w:rFonts w:cs="Arial"/>
          <w:bCs/>
          <w:sz w:val="22"/>
          <w:szCs w:val="22"/>
        </w:rPr>
      </w:pPr>
    </w:p>
    <w:p w14:paraId="744FA3A7" w14:textId="3C1C8D6E" w:rsidR="003B08FC" w:rsidRPr="0095316B" w:rsidRDefault="00612BF3" w:rsidP="00C413BF">
      <w:pPr>
        <w:pStyle w:val="NoSpacing"/>
        <w:spacing w:line="276" w:lineRule="auto"/>
        <w:rPr>
          <w:rFonts w:ascii="Arial" w:hAnsi="Arial" w:cs="Arial"/>
        </w:rPr>
      </w:pPr>
      <w:r>
        <w:rPr>
          <w:rFonts w:ascii="Arial" w:hAnsi="Arial" w:cs="Arial"/>
          <w:b/>
        </w:rPr>
        <w:t>6</w:t>
      </w:r>
      <w:r w:rsidR="003B08FC">
        <w:rPr>
          <w:rFonts w:ascii="Arial" w:hAnsi="Arial" w:cs="Arial"/>
          <w:b/>
        </w:rPr>
        <w:t xml:space="preserve">.  </w:t>
      </w:r>
      <w:r w:rsidR="003B08FC" w:rsidRPr="0095316B">
        <w:rPr>
          <w:rFonts w:ascii="Arial" w:hAnsi="Arial" w:cs="Arial"/>
          <w:b/>
        </w:rPr>
        <w:t>CONCLUSION</w:t>
      </w:r>
    </w:p>
    <w:p w14:paraId="22D2E353" w14:textId="77777777" w:rsidR="007464E6" w:rsidRDefault="007464E6" w:rsidP="00756A85">
      <w:pPr>
        <w:spacing w:after="0"/>
        <w:rPr>
          <w:rFonts w:ascii="Arial" w:eastAsia="Times New Roman" w:hAnsi="Arial" w:cs="Arial"/>
        </w:rPr>
      </w:pPr>
    </w:p>
    <w:p w14:paraId="41BE01F9" w14:textId="77777777" w:rsidR="001B04B2" w:rsidRDefault="00EA7CB0" w:rsidP="00756A85">
      <w:pPr>
        <w:spacing w:after="0"/>
        <w:rPr>
          <w:rFonts w:ascii="Arial" w:eastAsia="Times New Roman" w:hAnsi="Arial" w:cs="Arial"/>
        </w:rPr>
      </w:pPr>
      <w:r>
        <w:rPr>
          <w:rFonts w:ascii="Arial" w:eastAsia="Times New Roman" w:hAnsi="Arial" w:cs="Arial"/>
        </w:rPr>
        <w:t>Probation Service Unions</w:t>
      </w:r>
      <w:r w:rsidR="00B436FE">
        <w:rPr>
          <w:rFonts w:ascii="Arial" w:eastAsia="Times New Roman" w:hAnsi="Arial" w:cs="Arial"/>
        </w:rPr>
        <w:t xml:space="preserve"> warned that removing the market forces supplements </w:t>
      </w:r>
      <w:r w:rsidR="00B34A61">
        <w:rPr>
          <w:rFonts w:ascii="Arial" w:eastAsia="Times New Roman" w:hAnsi="Arial" w:cs="Arial"/>
        </w:rPr>
        <w:t xml:space="preserve">from certain staff in the south east was only going exacerbate the recruitmemt and retention </w:t>
      </w:r>
      <w:r w:rsidR="003372EC">
        <w:rPr>
          <w:rFonts w:ascii="Arial" w:eastAsia="Times New Roman" w:hAnsi="Arial" w:cs="Arial"/>
        </w:rPr>
        <w:t xml:space="preserve">problems the Probation Service is suffering in the South East. The </w:t>
      </w:r>
      <w:r w:rsidR="008E2DA7">
        <w:rPr>
          <w:rFonts w:ascii="Arial" w:eastAsia="Times New Roman" w:hAnsi="Arial" w:cs="Arial"/>
        </w:rPr>
        <w:t xml:space="preserve">Geographical </w:t>
      </w:r>
      <w:r w:rsidR="00A11E57">
        <w:rPr>
          <w:rFonts w:ascii="Arial" w:eastAsia="Times New Roman" w:hAnsi="Arial" w:cs="Arial"/>
        </w:rPr>
        <w:t xml:space="preserve">Supplement pay claim seeks to begin to address </w:t>
      </w:r>
      <w:r w:rsidR="00A02234">
        <w:rPr>
          <w:rFonts w:ascii="Arial" w:eastAsia="Times New Roman" w:hAnsi="Arial" w:cs="Arial"/>
        </w:rPr>
        <w:t>these pressures that threaten the delivery of a safe and effective Probation Service in the South East.</w:t>
      </w:r>
      <w:r w:rsidR="00462B29">
        <w:rPr>
          <w:rFonts w:ascii="Arial" w:eastAsia="Times New Roman" w:hAnsi="Arial" w:cs="Arial"/>
        </w:rPr>
        <w:t xml:space="preserve"> </w:t>
      </w:r>
    </w:p>
    <w:p w14:paraId="62AA5C6A" w14:textId="77777777" w:rsidR="007464E6" w:rsidRDefault="007464E6" w:rsidP="00756A85">
      <w:pPr>
        <w:spacing w:after="0"/>
        <w:rPr>
          <w:rFonts w:ascii="Arial" w:hAnsi="Arial" w:cs="Arial"/>
          <w:b/>
          <w:bCs/>
        </w:rPr>
      </w:pPr>
    </w:p>
    <w:p w14:paraId="1B94EF4C" w14:textId="77777777" w:rsidR="007464E6" w:rsidRDefault="007464E6" w:rsidP="00756A85">
      <w:pPr>
        <w:spacing w:after="0"/>
        <w:rPr>
          <w:rFonts w:ascii="Arial" w:hAnsi="Arial" w:cs="Arial"/>
          <w:b/>
          <w:bCs/>
        </w:rPr>
      </w:pPr>
    </w:p>
    <w:p w14:paraId="7494548A" w14:textId="77777777" w:rsidR="007464E6" w:rsidRDefault="007464E6" w:rsidP="00756A85">
      <w:pPr>
        <w:spacing w:after="0"/>
        <w:rPr>
          <w:rFonts w:ascii="Arial" w:hAnsi="Arial" w:cs="Arial"/>
          <w:b/>
          <w:bCs/>
        </w:rPr>
      </w:pPr>
    </w:p>
    <w:p w14:paraId="1D761275" w14:textId="3BACF088" w:rsidR="00A02234" w:rsidRPr="001B04B2" w:rsidRDefault="00A02234" w:rsidP="00756A85">
      <w:pPr>
        <w:spacing w:after="0"/>
        <w:rPr>
          <w:rFonts w:ascii="Arial" w:eastAsia="Times New Roman" w:hAnsi="Arial" w:cs="Arial"/>
        </w:rPr>
      </w:pPr>
      <w:r w:rsidRPr="00321E81">
        <w:rPr>
          <w:rFonts w:ascii="Arial" w:hAnsi="Arial" w:cs="Arial"/>
          <w:b/>
          <w:bCs/>
        </w:rPr>
        <w:t>APPENDI</w:t>
      </w:r>
      <w:r w:rsidR="00321E81" w:rsidRPr="00321E81">
        <w:rPr>
          <w:rFonts w:ascii="Arial" w:hAnsi="Arial" w:cs="Arial"/>
          <w:b/>
          <w:bCs/>
        </w:rPr>
        <w:t>X 1</w:t>
      </w:r>
    </w:p>
    <w:p w14:paraId="505D31E9" w14:textId="22509502" w:rsidR="0018030C" w:rsidRDefault="0018030C" w:rsidP="00756A85">
      <w:pPr>
        <w:spacing w:after="0"/>
        <w:rPr>
          <w:rFonts w:ascii="Arial" w:hAnsi="Arial" w:cs="Arial"/>
          <w:b/>
          <w:bCs/>
        </w:rPr>
      </w:pPr>
    </w:p>
    <w:p w14:paraId="479FAC8D" w14:textId="1FFFBDEF" w:rsidR="0018030C" w:rsidRPr="007E7E92" w:rsidRDefault="007E7E92" w:rsidP="00CF682E">
      <w:pPr>
        <w:pStyle w:val="ListParagraph"/>
        <w:numPr>
          <w:ilvl w:val="0"/>
          <w:numId w:val="29"/>
        </w:numPr>
        <w:autoSpaceDE w:val="0"/>
        <w:autoSpaceDN w:val="0"/>
        <w:adjustRightInd w:val="0"/>
        <w:rPr>
          <w:rFonts w:ascii="Arial" w:hAnsi="Arial" w:cs="Arial"/>
        </w:rPr>
      </w:pPr>
      <w:r w:rsidRPr="007E7E92">
        <w:rPr>
          <w:rFonts w:ascii="Arial" w:hAnsi="Arial" w:cs="Arial"/>
        </w:rPr>
        <w:t>The HMPPS submission to the Prison Service Pay Review Body</w:t>
      </w:r>
    </w:p>
    <w:p w14:paraId="53AB8359" w14:textId="77777777" w:rsidR="0018030C" w:rsidRPr="002B1DB8" w:rsidRDefault="0018030C" w:rsidP="0018030C">
      <w:pPr>
        <w:pStyle w:val="Bodycopy"/>
        <w:numPr>
          <w:ilvl w:val="0"/>
          <w:numId w:val="28"/>
        </w:numPr>
        <w:rPr>
          <w:rFonts w:ascii="Arial" w:hAnsi="Arial" w:cs="Arial"/>
          <w:sz w:val="22"/>
          <w:szCs w:val="22"/>
        </w:rPr>
      </w:pPr>
      <w:r w:rsidRPr="002B1DB8">
        <w:rPr>
          <w:rFonts w:ascii="Arial" w:hAnsi="Arial" w:cs="Arial"/>
          <w:sz w:val="22"/>
          <w:szCs w:val="22"/>
          <w:highlight w:val="yellow"/>
        </w:rPr>
        <w:t>With regard to local and geographical variation, we remain committed to the targeted approach offered by the use of Market Supplements across a number of sites where the pay drivers of recruitment and retention challenges are most acute</w:t>
      </w:r>
      <w:r w:rsidRPr="002B1DB8">
        <w:rPr>
          <w:rFonts w:ascii="Arial" w:hAnsi="Arial" w:cs="Arial"/>
          <w:sz w:val="22"/>
          <w:szCs w:val="22"/>
        </w:rPr>
        <w:t>. However, we recognise the PSPRB’s previous recommendations on Market Supplements and through our proposals have started a process of eroding these. We are of the strong opinion that large scale increases to base pay at Band 3 are not an effective or cost-effective 5 method to remove Market Supplements and would remind the PSPRB of their terms of reference to consider regional / local variations in labour markets and their effects on the recruitment and retention of staff.</w:t>
      </w:r>
    </w:p>
    <w:p w14:paraId="75DADD46" w14:textId="77777777" w:rsidR="0018030C" w:rsidRPr="002B1DB8" w:rsidRDefault="0018030C" w:rsidP="0018030C">
      <w:pPr>
        <w:pStyle w:val="Bodycopy"/>
        <w:rPr>
          <w:rFonts w:ascii="Arial" w:hAnsi="Arial" w:cs="Arial"/>
          <w:sz w:val="22"/>
          <w:szCs w:val="22"/>
        </w:rPr>
      </w:pPr>
    </w:p>
    <w:p w14:paraId="6867AE81"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j. </w:t>
      </w:r>
      <w:r w:rsidRPr="002B1DB8">
        <w:rPr>
          <w:rFonts w:ascii="Arial" w:hAnsi="Arial" w:cs="Arial"/>
          <w:sz w:val="22"/>
          <w:szCs w:val="22"/>
        </w:rPr>
        <w:tab/>
        <w:t>Our proposals this year represent the first year of a long-term strategy which will be kept under review against organisational and operational needs and labour market developments.</w:t>
      </w:r>
    </w:p>
    <w:p w14:paraId="6C9E703D" w14:textId="77777777" w:rsidR="0018030C" w:rsidRPr="002B1DB8" w:rsidRDefault="0018030C" w:rsidP="0018030C">
      <w:pPr>
        <w:pStyle w:val="Bodycopy"/>
        <w:ind w:left="720" w:hanging="720"/>
        <w:rPr>
          <w:rFonts w:ascii="Arial" w:hAnsi="Arial" w:cs="Arial"/>
          <w:sz w:val="22"/>
          <w:szCs w:val="22"/>
        </w:rPr>
      </w:pPr>
    </w:p>
    <w:p w14:paraId="1544CB26"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1.33</w:t>
      </w:r>
      <w:r w:rsidRPr="002B1DB8">
        <w:rPr>
          <w:rFonts w:ascii="Arial" w:hAnsi="Arial" w:cs="Arial"/>
          <w:sz w:val="22"/>
          <w:szCs w:val="22"/>
        </w:rPr>
        <w:tab/>
        <w:t xml:space="preserve"> The PSPRB’s evidence for 2021/22 also highlighted challenges associated with the “additional tier” to the F&amp;S </w:t>
      </w:r>
      <w:r w:rsidRPr="002B1DB8">
        <w:rPr>
          <w:rFonts w:ascii="Arial" w:hAnsi="Arial" w:cs="Arial"/>
          <w:sz w:val="22"/>
          <w:szCs w:val="22"/>
          <w:highlight w:val="yellow"/>
        </w:rPr>
        <w:t>pay structure created by the use of red and amber Market Supplements. As set out in Chapter 2, Market Supplements of either £3,000 or £5,000 which are currently applied to 31 establishments have equipped us in tackling localised ongoing recruitment and retention challenges where they are most acute.</w:t>
      </w:r>
      <w:r w:rsidRPr="002B1DB8">
        <w:rPr>
          <w:rFonts w:ascii="Arial" w:hAnsi="Arial" w:cs="Arial"/>
          <w:sz w:val="22"/>
          <w:szCs w:val="22"/>
        </w:rPr>
        <w:t xml:space="preserve"> </w:t>
      </w:r>
    </w:p>
    <w:p w14:paraId="0B32355E" w14:textId="77777777" w:rsidR="0018030C" w:rsidRPr="002B1DB8" w:rsidRDefault="0018030C" w:rsidP="0018030C">
      <w:pPr>
        <w:pStyle w:val="Bodycopy"/>
        <w:ind w:left="720" w:hanging="720"/>
        <w:rPr>
          <w:rFonts w:ascii="Arial" w:hAnsi="Arial" w:cs="Arial"/>
          <w:sz w:val="22"/>
          <w:szCs w:val="22"/>
        </w:rPr>
      </w:pPr>
    </w:p>
    <w:p w14:paraId="20361258"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1.34 </w:t>
      </w:r>
      <w:r w:rsidRPr="002B1DB8">
        <w:rPr>
          <w:rFonts w:ascii="Arial" w:hAnsi="Arial" w:cs="Arial"/>
          <w:sz w:val="22"/>
          <w:szCs w:val="22"/>
        </w:rPr>
        <w:tab/>
      </w:r>
      <w:r w:rsidRPr="002B1DB8">
        <w:rPr>
          <w:rFonts w:ascii="Arial" w:hAnsi="Arial" w:cs="Arial"/>
          <w:sz w:val="22"/>
          <w:szCs w:val="22"/>
          <w:highlight w:val="yellow"/>
        </w:rPr>
        <w:t>We continue to see a need for their use. However, we acknowledge the PSPRB’s concerns around the impact on overall pay structure and recognise the need for nation-wide investment in pay to make the Prison Officer role more market facing.</w:t>
      </w:r>
      <w:r w:rsidRPr="002B1DB8">
        <w:rPr>
          <w:rFonts w:ascii="Arial" w:hAnsi="Arial" w:cs="Arial"/>
          <w:sz w:val="22"/>
          <w:szCs w:val="22"/>
        </w:rPr>
        <w:t xml:space="preserve"> In doing this, we expect to minimise the need for Market Supplements and in turn, achieve a more coherent and consistent pay structure. </w:t>
      </w:r>
    </w:p>
    <w:p w14:paraId="556A807A" w14:textId="77777777" w:rsidR="0018030C" w:rsidRPr="002B1DB8" w:rsidRDefault="0018030C" w:rsidP="0018030C">
      <w:pPr>
        <w:pStyle w:val="Bodycopy"/>
        <w:ind w:left="720" w:hanging="720"/>
        <w:rPr>
          <w:rFonts w:ascii="Arial" w:hAnsi="Arial" w:cs="Arial"/>
          <w:sz w:val="22"/>
          <w:szCs w:val="22"/>
        </w:rPr>
      </w:pPr>
    </w:p>
    <w:p w14:paraId="71CF9F3C"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1.50 </w:t>
      </w:r>
      <w:r w:rsidRPr="002B1DB8">
        <w:rPr>
          <w:rFonts w:ascii="Arial" w:hAnsi="Arial" w:cs="Arial"/>
          <w:sz w:val="22"/>
          <w:szCs w:val="22"/>
        </w:rPr>
        <w:tab/>
        <w:t>Additional rationale and key drivers: • Ensuring our offer applies available pay flexibilities (e.g. Market Supplements being paid in 31 red and amber sites) to address local pay issues linked to 27 specific roles rather than extending the zone structure to other geographical areas</w:t>
      </w:r>
    </w:p>
    <w:p w14:paraId="451CB59C" w14:textId="77777777" w:rsidR="0018030C" w:rsidRPr="002B1DB8" w:rsidRDefault="0018030C" w:rsidP="0018030C">
      <w:pPr>
        <w:pStyle w:val="Bodycopy"/>
        <w:ind w:left="720" w:hanging="720"/>
        <w:rPr>
          <w:rFonts w:ascii="Arial" w:hAnsi="Arial" w:cs="Arial"/>
          <w:sz w:val="22"/>
          <w:szCs w:val="22"/>
        </w:rPr>
      </w:pPr>
    </w:p>
    <w:p w14:paraId="79700267" w14:textId="77777777" w:rsidR="0018030C" w:rsidRPr="002B1DB8" w:rsidRDefault="0018030C" w:rsidP="0018030C">
      <w:pPr>
        <w:pStyle w:val="Bodycopy"/>
        <w:ind w:left="720"/>
        <w:rPr>
          <w:rFonts w:ascii="Arial" w:hAnsi="Arial" w:cs="Arial"/>
          <w:sz w:val="22"/>
          <w:szCs w:val="22"/>
        </w:rPr>
      </w:pPr>
      <w:r w:rsidRPr="002B1DB8">
        <w:rPr>
          <w:rFonts w:ascii="Arial" w:hAnsi="Arial" w:cs="Arial"/>
          <w:sz w:val="22"/>
          <w:szCs w:val="22"/>
        </w:rPr>
        <w:t xml:space="preserve">F&amp;S Market Supplements at Red and Amber sites </w:t>
      </w:r>
    </w:p>
    <w:p w14:paraId="5919165D" w14:textId="77777777" w:rsidR="0018030C" w:rsidRPr="002B1DB8" w:rsidRDefault="0018030C" w:rsidP="0018030C">
      <w:pPr>
        <w:pStyle w:val="Bodycopy"/>
        <w:ind w:left="720"/>
        <w:rPr>
          <w:rFonts w:ascii="Arial" w:hAnsi="Arial" w:cs="Arial"/>
          <w:sz w:val="22"/>
          <w:szCs w:val="22"/>
        </w:rPr>
      </w:pPr>
    </w:p>
    <w:p w14:paraId="327BCBD2"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1.100 </w:t>
      </w:r>
      <w:r w:rsidRPr="002B1DB8">
        <w:rPr>
          <w:rFonts w:ascii="Arial" w:hAnsi="Arial" w:cs="Arial"/>
          <w:sz w:val="22"/>
          <w:szCs w:val="22"/>
        </w:rPr>
        <w:tab/>
        <w:t xml:space="preserve">HMPPS will extend the payment of Market Supplements in the 31 red / amber sites, by a further year until 31 March 2023 – although the value of these will be eroded by pay point increases as per Proposal 8. </w:t>
      </w:r>
    </w:p>
    <w:p w14:paraId="52470F8E" w14:textId="77777777" w:rsidR="0018030C" w:rsidRPr="002B1DB8" w:rsidRDefault="0018030C" w:rsidP="0018030C">
      <w:pPr>
        <w:pStyle w:val="Bodycopy"/>
        <w:ind w:left="720" w:hanging="720"/>
        <w:rPr>
          <w:rFonts w:ascii="Arial" w:hAnsi="Arial" w:cs="Arial"/>
          <w:sz w:val="22"/>
          <w:szCs w:val="22"/>
        </w:rPr>
      </w:pPr>
    </w:p>
    <w:p w14:paraId="0B2C9361" w14:textId="77777777" w:rsidR="0018030C" w:rsidRPr="002B1DB8" w:rsidRDefault="0018030C" w:rsidP="00AD1F13">
      <w:pPr>
        <w:pStyle w:val="Bodycopy"/>
        <w:keepNext w:val="0"/>
        <w:spacing w:line="276" w:lineRule="auto"/>
        <w:ind w:left="720" w:hanging="720"/>
        <w:rPr>
          <w:rFonts w:ascii="Arial" w:hAnsi="Arial" w:cs="Arial"/>
          <w:sz w:val="22"/>
          <w:szCs w:val="22"/>
        </w:rPr>
      </w:pPr>
      <w:r w:rsidRPr="002B1DB8">
        <w:rPr>
          <w:rFonts w:ascii="Arial" w:hAnsi="Arial" w:cs="Arial"/>
          <w:sz w:val="22"/>
          <w:szCs w:val="22"/>
        </w:rPr>
        <w:t>1.101</w:t>
      </w:r>
      <w:r w:rsidRPr="002B1DB8">
        <w:rPr>
          <w:rFonts w:ascii="Arial" w:hAnsi="Arial" w:cs="Arial"/>
          <w:sz w:val="22"/>
          <w:szCs w:val="22"/>
        </w:rPr>
        <w:tab/>
        <w:t xml:space="preserve"> Retaining prison staff and experience in these 31 establishments is crucial for productivity, regime stability and therefore achieving better outcomes. Evidence from focus groups show that experienced Officers have a positive effect on reducing violence in prisons. It is also clearly important for developing a strong pipeline of future leadership talent. </w:t>
      </w:r>
    </w:p>
    <w:p w14:paraId="481EAD14" w14:textId="77777777" w:rsidR="0018030C" w:rsidRPr="002B1DB8" w:rsidRDefault="0018030C" w:rsidP="0018030C">
      <w:pPr>
        <w:pStyle w:val="Bodycopy"/>
        <w:ind w:left="720" w:hanging="720"/>
        <w:rPr>
          <w:rFonts w:ascii="Arial" w:hAnsi="Arial" w:cs="Arial"/>
          <w:sz w:val="22"/>
          <w:szCs w:val="22"/>
        </w:rPr>
      </w:pPr>
    </w:p>
    <w:p w14:paraId="5BE2C4FC"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1.102 </w:t>
      </w:r>
      <w:r w:rsidRPr="002B1DB8">
        <w:rPr>
          <w:rFonts w:ascii="Arial" w:hAnsi="Arial" w:cs="Arial"/>
          <w:sz w:val="22"/>
          <w:szCs w:val="22"/>
        </w:rPr>
        <w:tab/>
      </w:r>
      <w:r w:rsidRPr="002B1DB8">
        <w:rPr>
          <w:rFonts w:ascii="Arial" w:hAnsi="Arial" w:cs="Arial"/>
          <w:sz w:val="22"/>
          <w:szCs w:val="22"/>
          <w:highlight w:val="yellow"/>
        </w:rPr>
        <w:t>Evidence currently shows that there is a need to retain the targeted approach to recruiting and retaining in these hard to recruit sites, hence the need for continuation of the 31 Market Supplement sites at this point</w:t>
      </w:r>
    </w:p>
    <w:p w14:paraId="25ABE6E4" w14:textId="77777777" w:rsidR="0018030C" w:rsidRPr="002B1DB8" w:rsidRDefault="0018030C" w:rsidP="0018030C">
      <w:pPr>
        <w:pStyle w:val="Bodycopy"/>
        <w:ind w:left="720" w:hanging="720"/>
        <w:rPr>
          <w:rFonts w:ascii="Arial" w:hAnsi="Arial" w:cs="Arial"/>
          <w:sz w:val="22"/>
          <w:szCs w:val="22"/>
        </w:rPr>
      </w:pPr>
    </w:p>
    <w:p w14:paraId="4EC58F85" w14:textId="77777777" w:rsidR="0018030C" w:rsidRPr="002B1DB8" w:rsidRDefault="0018030C" w:rsidP="0018030C">
      <w:pPr>
        <w:pStyle w:val="Bodycopy"/>
        <w:ind w:left="720" w:hanging="720"/>
        <w:rPr>
          <w:rFonts w:ascii="Arial" w:hAnsi="Arial" w:cs="Arial"/>
          <w:sz w:val="22"/>
          <w:szCs w:val="22"/>
        </w:rPr>
      </w:pPr>
    </w:p>
    <w:p w14:paraId="0C1FC13A" w14:textId="77777777" w:rsidR="0018030C" w:rsidRPr="002B1DB8" w:rsidRDefault="0018030C" w:rsidP="0018030C">
      <w:pPr>
        <w:pStyle w:val="Bodycopy"/>
        <w:ind w:left="720"/>
        <w:rPr>
          <w:rFonts w:ascii="Arial" w:hAnsi="Arial" w:cs="Arial"/>
          <w:sz w:val="22"/>
          <w:szCs w:val="22"/>
        </w:rPr>
      </w:pPr>
      <w:r w:rsidRPr="002B1DB8">
        <w:rPr>
          <w:rFonts w:ascii="Arial" w:hAnsi="Arial" w:cs="Arial"/>
          <w:sz w:val="22"/>
          <w:szCs w:val="22"/>
        </w:rPr>
        <w:t xml:space="preserve">A targeted approach to Recruitment and Retention: Market Supplements </w:t>
      </w:r>
    </w:p>
    <w:p w14:paraId="394494BA" w14:textId="77777777" w:rsidR="0018030C" w:rsidRPr="002B1DB8" w:rsidRDefault="0018030C" w:rsidP="0018030C">
      <w:pPr>
        <w:pStyle w:val="Bodycopy"/>
        <w:ind w:left="720"/>
        <w:rPr>
          <w:rFonts w:ascii="Arial" w:hAnsi="Arial" w:cs="Arial"/>
          <w:sz w:val="22"/>
          <w:szCs w:val="22"/>
        </w:rPr>
      </w:pPr>
    </w:p>
    <w:p w14:paraId="170A886D"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2.113 </w:t>
      </w:r>
      <w:r w:rsidRPr="002B1DB8">
        <w:rPr>
          <w:rFonts w:ascii="Arial" w:hAnsi="Arial" w:cs="Arial"/>
          <w:sz w:val="22"/>
          <w:szCs w:val="22"/>
        </w:rPr>
        <w:tab/>
        <w:t xml:space="preserve">Market Supplements were originally introduced in early 2017 as an additional (non-pensionable) payment of either £3,000 p.a. (at Amber sites) or £5,000 (at Red sites) for Band 3 Prison Officers (on F&amp;S, or legacy pay terms and 75 conditions only) as a means to address acute recruitment and retention challenges at our most difficult to recruit and retain at prisons. </w:t>
      </w:r>
    </w:p>
    <w:p w14:paraId="0A2083CF" w14:textId="77777777" w:rsidR="0018030C" w:rsidRPr="002B1DB8" w:rsidRDefault="0018030C" w:rsidP="0018030C">
      <w:pPr>
        <w:pStyle w:val="Bodycopy"/>
        <w:ind w:left="720" w:hanging="720"/>
        <w:rPr>
          <w:rFonts w:ascii="Arial" w:hAnsi="Arial" w:cs="Arial"/>
          <w:sz w:val="22"/>
          <w:szCs w:val="22"/>
        </w:rPr>
      </w:pPr>
    </w:p>
    <w:p w14:paraId="1C6D573F"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2.114 </w:t>
      </w:r>
      <w:r w:rsidRPr="002B1DB8">
        <w:rPr>
          <w:rFonts w:ascii="Arial" w:hAnsi="Arial" w:cs="Arial"/>
          <w:sz w:val="22"/>
          <w:szCs w:val="22"/>
        </w:rPr>
        <w:tab/>
        <w:t xml:space="preserve">We continue to see a need for their use and have secured HM Treasury approval for their continuation beyond April 2022. </w:t>
      </w:r>
    </w:p>
    <w:p w14:paraId="29B8C476" w14:textId="77777777" w:rsidR="0018030C" w:rsidRPr="002B1DB8" w:rsidRDefault="0018030C" w:rsidP="0018030C">
      <w:pPr>
        <w:pStyle w:val="Bodycopy"/>
        <w:ind w:left="720" w:hanging="720"/>
        <w:rPr>
          <w:rFonts w:ascii="Arial" w:hAnsi="Arial" w:cs="Arial"/>
          <w:sz w:val="22"/>
          <w:szCs w:val="22"/>
        </w:rPr>
      </w:pPr>
    </w:p>
    <w:p w14:paraId="30559BAA"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2.115 </w:t>
      </w:r>
      <w:r w:rsidRPr="002B1DB8">
        <w:rPr>
          <w:rFonts w:ascii="Arial" w:hAnsi="Arial" w:cs="Arial"/>
          <w:sz w:val="22"/>
          <w:szCs w:val="22"/>
        </w:rPr>
        <w:tab/>
        <w:t xml:space="preserve">Continuation of Market Supplements for 2022/23 allows us to compete against local market forces, tackle ongoing recruitment difficulties in these areas and retain experienced Prison Officers in order to ensure the safe operation of these 31 establishments. Continuation of Market Supplements for 2022/23 also allow us to mitigate the risks of the losing experienced staff to the large recruitment drive of the Police Force and similar organisations such as Border Force. </w:t>
      </w:r>
    </w:p>
    <w:p w14:paraId="5F419675" w14:textId="77777777" w:rsidR="0018030C" w:rsidRPr="002B1DB8" w:rsidRDefault="0018030C" w:rsidP="0018030C">
      <w:pPr>
        <w:pStyle w:val="Bodycopy"/>
        <w:ind w:left="720" w:hanging="720"/>
        <w:rPr>
          <w:rFonts w:ascii="Arial" w:hAnsi="Arial" w:cs="Arial"/>
          <w:sz w:val="22"/>
          <w:szCs w:val="22"/>
        </w:rPr>
      </w:pPr>
    </w:p>
    <w:p w14:paraId="7235EE34"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2.116 </w:t>
      </w:r>
      <w:r w:rsidRPr="002B1DB8">
        <w:rPr>
          <w:rFonts w:ascii="Arial" w:hAnsi="Arial" w:cs="Arial"/>
          <w:sz w:val="22"/>
          <w:szCs w:val="22"/>
        </w:rPr>
        <w:tab/>
        <w:t xml:space="preserve">However, the PSPRB’s evidence for 2021/22 highlighted challenges associated with the “additional tier” to the F&amp;S pay structure created by the use of red and amber Market Supplements. They also raised concerns over the impact of Market Supplements on the recruitment and retention at neighbouring prison establishments. </w:t>
      </w:r>
    </w:p>
    <w:p w14:paraId="1A0029B8" w14:textId="77777777" w:rsidR="0018030C" w:rsidRPr="002B1DB8" w:rsidRDefault="0018030C" w:rsidP="0018030C">
      <w:pPr>
        <w:pStyle w:val="Bodycopy"/>
        <w:ind w:left="720" w:hanging="720"/>
        <w:rPr>
          <w:rFonts w:ascii="Arial" w:hAnsi="Arial" w:cs="Arial"/>
          <w:sz w:val="22"/>
          <w:szCs w:val="22"/>
        </w:rPr>
      </w:pPr>
    </w:p>
    <w:p w14:paraId="134D2FD1"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2.117 </w:t>
      </w:r>
      <w:r w:rsidRPr="002B1DB8">
        <w:rPr>
          <w:rFonts w:ascii="Arial" w:hAnsi="Arial" w:cs="Arial"/>
          <w:sz w:val="22"/>
          <w:szCs w:val="22"/>
        </w:rPr>
        <w:tab/>
        <w:t xml:space="preserve">As set out within our pay strategy, detailed further in Chapter 1, we are looking carefully at the use and effectiveness of Market Supplements over the longer term. </w:t>
      </w:r>
    </w:p>
    <w:p w14:paraId="133032B4" w14:textId="77777777" w:rsidR="0018030C" w:rsidRPr="002B1DB8" w:rsidRDefault="0018030C" w:rsidP="0018030C">
      <w:pPr>
        <w:pStyle w:val="Bodycopy"/>
        <w:ind w:left="720" w:hanging="720"/>
        <w:rPr>
          <w:rFonts w:ascii="Arial" w:hAnsi="Arial" w:cs="Arial"/>
          <w:sz w:val="22"/>
          <w:szCs w:val="22"/>
        </w:rPr>
      </w:pPr>
    </w:p>
    <w:p w14:paraId="3B15EBB2" w14:textId="77777777" w:rsidR="0018030C" w:rsidRPr="002B1DB8" w:rsidRDefault="0018030C" w:rsidP="0018030C">
      <w:pPr>
        <w:pStyle w:val="Bodycopy"/>
        <w:ind w:left="720" w:hanging="720"/>
        <w:rPr>
          <w:rFonts w:ascii="Arial" w:hAnsi="Arial" w:cs="Arial"/>
          <w:sz w:val="22"/>
          <w:szCs w:val="22"/>
        </w:rPr>
      </w:pPr>
      <w:r w:rsidRPr="002B1DB8">
        <w:rPr>
          <w:rFonts w:ascii="Arial" w:hAnsi="Arial" w:cs="Arial"/>
          <w:sz w:val="22"/>
          <w:szCs w:val="22"/>
        </w:rPr>
        <w:t xml:space="preserve">2.118 </w:t>
      </w:r>
      <w:r w:rsidRPr="002B1DB8">
        <w:rPr>
          <w:rFonts w:ascii="Arial" w:hAnsi="Arial" w:cs="Arial"/>
          <w:sz w:val="22"/>
          <w:szCs w:val="22"/>
        </w:rPr>
        <w:tab/>
        <w:t xml:space="preserve">Acknowledging the PSPRB’s </w:t>
      </w:r>
      <w:r w:rsidRPr="002B1DB8">
        <w:rPr>
          <w:rFonts w:ascii="Arial" w:hAnsi="Arial" w:cs="Arial"/>
          <w:sz w:val="22"/>
          <w:szCs w:val="22"/>
          <w:highlight w:val="yellow"/>
        </w:rPr>
        <w:t>argument for nation-wide investment in pay to make the Prison Officer role more market-facing, we set proposals for this year to do so. Our proposed increases to our lowest paid grades will therefore have the effect of phasing out parts of the Market Supplements where they are in place.</w:t>
      </w:r>
      <w:r w:rsidRPr="002B1DB8">
        <w:rPr>
          <w:rFonts w:ascii="Arial" w:hAnsi="Arial" w:cs="Arial"/>
          <w:sz w:val="22"/>
          <w:szCs w:val="22"/>
        </w:rPr>
        <w:t xml:space="preserve"> We will carefully monitor the impact this has on localised recruitment and retention trends in order to inform our longer-term approach.</w:t>
      </w:r>
    </w:p>
    <w:p w14:paraId="52FFF05E" w14:textId="77777777" w:rsidR="0018030C" w:rsidRPr="002B1DB8" w:rsidRDefault="0018030C" w:rsidP="0018030C">
      <w:pPr>
        <w:pStyle w:val="Bodycopy"/>
        <w:ind w:left="720" w:hanging="720"/>
        <w:rPr>
          <w:rFonts w:ascii="Arial" w:hAnsi="Arial" w:cs="Arial"/>
          <w:sz w:val="22"/>
          <w:szCs w:val="22"/>
        </w:rPr>
      </w:pPr>
    </w:p>
    <w:p w14:paraId="3FB524C9" w14:textId="77777777" w:rsidR="0018030C" w:rsidRPr="002B1DB8" w:rsidRDefault="0018030C" w:rsidP="0018030C">
      <w:pPr>
        <w:pStyle w:val="Bodycopy"/>
        <w:ind w:left="720" w:hanging="720"/>
        <w:rPr>
          <w:rFonts w:ascii="Arial" w:hAnsi="Arial" w:cs="Arial"/>
          <w:sz w:val="22"/>
          <w:szCs w:val="22"/>
        </w:rPr>
      </w:pPr>
    </w:p>
    <w:p w14:paraId="2350F64F" w14:textId="2A503F79" w:rsidR="0018030C" w:rsidRDefault="0018030C" w:rsidP="009C46A9">
      <w:pPr>
        <w:pStyle w:val="Bodycopy"/>
        <w:numPr>
          <w:ilvl w:val="0"/>
          <w:numId w:val="29"/>
        </w:numPr>
        <w:rPr>
          <w:rFonts w:ascii="Arial" w:hAnsi="Arial" w:cs="Arial"/>
          <w:sz w:val="22"/>
          <w:szCs w:val="22"/>
        </w:rPr>
      </w:pPr>
      <w:r w:rsidRPr="002B1DB8">
        <w:rPr>
          <w:rFonts w:ascii="Arial" w:hAnsi="Arial" w:cs="Arial"/>
          <w:sz w:val="22"/>
          <w:szCs w:val="22"/>
        </w:rPr>
        <w:t>The Prison Service Pay Review Body 2022/23 Report</w:t>
      </w:r>
    </w:p>
    <w:p w14:paraId="639FD5A7" w14:textId="77777777" w:rsidR="00927FAF" w:rsidRPr="002B1DB8" w:rsidRDefault="00927FAF" w:rsidP="00927FAF">
      <w:pPr>
        <w:pStyle w:val="Bodycopy"/>
        <w:ind w:left="720"/>
        <w:rPr>
          <w:rFonts w:ascii="Arial" w:hAnsi="Arial" w:cs="Arial"/>
          <w:sz w:val="22"/>
          <w:szCs w:val="22"/>
        </w:rPr>
      </w:pPr>
    </w:p>
    <w:p w14:paraId="700F183D"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rPr>
        <w:t xml:space="preserve">xiv. The lack of an effective pay strategy for Band 3 pay has become more apparent this year due to the contradictory approach to market supplements. Although we welcome the commitment from HMPPS to start eroding the market supplements we do not believe this is compatible with the </w:t>
      </w:r>
      <w:r w:rsidRPr="002B1DB8">
        <w:rPr>
          <w:rFonts w:ascii="Arial" w:hAnsi="Arial" w:cs="Arial"/>
          <w:sz w:val="22"/>
          <w:szCs w:val="22"/>
          <w:highlight w:val="yellow"/>
        </w:rPr>
        <w:t>supplements being increased and extended to more prisons.</w:t>
      </w:r>
      <w:r w:rsidRPr="002B1DB8">
        <w:rPr>
          <w:rFonts w:ascii="Arial" w:hAnsi="Arial" w:cs="Arial"/>
          <w:sz w:val="22"/>
          <w:szCs w:val="22"/>
        </w:rPr>
        <w:t xml:space="preserve"> </w:t>
      </w:r>
    </w:p>
    <w:p w14:paraId="0E21C1D7" w14:textId="77777777" w:rsidR="0018030C" w:rsidRPr="002B1DB8" w:rsidRDefault="0018030C" w:rsidP="0018030C">
      <w:pPr>
        <w:pStyle w:val="Bodycopy"/>
        <w:rPr>
          <w:rFonts w:ascii="Arial" w:hAnsi="Arial" w:cs="Arial"/>
          <w:sz w:val="22"/>
          <w:szCs w:val="22"/>
        </w:rPr>
      </w:pPr>
    </w:p>
    <w:p w14:paraId="40161B50"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rPr>
        <w:t xml:space="preserve">These measures may help to reduce the flow of officers out of the Service in the very short term, but it is clear to us that their continued and repeated extension is evidence of its limited effectiveness. We believe staff need certainty and confidence in their pay and the Service must act now to provide a competitive base salary. We accept the aspiration of HMPPS not to rely on market supplements, as it has demonstrated in its approach to Band 2. </w:t>
      </w:r>
    </w:p>
    <w:p w14:paraId="2B22AD79" w14:textId="77777777" w:rsidR="0018030C" w:rsidRPr="002B1DB8" w:rsidRDefault="0018030C" w:rsidP="0018030C">
      <w:pPr>
        <w:pStyle w:val="Bodycopy"/>
        <w:rPr>
          <w:rFonts w:ascii="Arial" w:hAnsi="Arial" w:cs="Arial"/>
          <w:sz w:val="22"/>
          <w:szCs w:val="22"/>
        </w:rPr>
      </w:pPr>
    </w:p>
    <w:p w14:paraId="6C65B387"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rPr>
        <w:t>However, we believe the Service must, given the scale of the recruitment and retention issues it faces, move further and faster to do so.</w:t>
      </w:r>
    </w:p>
    <w:p w14:paraId="14A52134" w14:textId="77777777" w:rsidR="0018030C" w:rsidRPr="002B1DB8" w:rsidRDefault="0018030C" w:rsidP="0018030C">
      <w:pPr>
        <w:pStyle w:val="Bodycopy"/>
        <w:rPr>
          <w:rFonts w:ascii="Arial" w:hAnsi="Arial" w:cs="Arial"/>
          <w:sz w:val="22"/>
          <w:szCs w:val="22"/>
        </w:rPr>
      </w:pPr>
    </w:p>
    <w:p w14:paraId="1DF795BE"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rPr>
        <w:t xml:space="preserve">xvi. </w:t>
      </w:r>
      <w:r w:rsidRPr="002B1DB8">
        <w:rPr>
          <w:rFonts w:ascii="Arial" w:hAnsi="Arial" w:cs="Arial"/>
          <w:sz w:val="22"/>
          <w:szCs w:val="22"/>
          <w:highlight w:val="yellow"/>
        </w:rPr>
        <w:t>We therefore recommend that from 1 September 2022, the ‘amber’ market supplement is consolidated into pay, resulting in a £3,000 increase in pensionable pay for all Band 3 staff on the National Fair and Sustainable Band 3 pay scale.</w:t>
      </w:r>
      <w:r w:rsidRPr="002B1DB8">
        <w:rPr>
          <w:rFonts w:ascii="Arial" w:hAnsi="Arial" w:cs="Arial"/>
          <w:sz w:val="22"/>
          <w:szCs w:val="22"/>
        </w:rPr>
        <w:t xml:space="preserve"> This £3,000 increase should be paid to all staff in Band 3, including those working at ‘red’ and ‘red plus’ market supplement sites. We further recommend that HMPPS continue to pay an amended non-consolidated ‘red’ market supplement of £2,000 (reduced from £5,000) and a ‘red plus’ market supplement of £3,500 (reduced from £6,500) a year to those Band 3 Prison Officers who are currently eligible to receive them. We will review these payments in the future in line with our longer-term aspirations for Band 3 Prison Officer pay.</w:t>
      </w:r>
    </w:p>
    <w:p w14:paraId="3E38694C" w14:textId="77777777" w:rsidR="0018030C" w:rsidRPr="002B1DB8" w:rsidRDefault="0018030C" w:rsidP="0018030C">
      <w:pPr>
        <w:pStyle w:val="Bodycopy"/>
        <w:rPr>
          <w:rFonts w:ascii="Arial" w:hAnsi="Arial" w:cs="Arial"/>
          <w:sz w:val="22"/>
          <w:szCs w:val="22"/>
        </w:rPr>
      </w:pPr>
    </w:p>
    <w:p w14:paraId="152C6932" w14:textId="77777777" w:rsidR="0018030C" w:rsidRPr="002B1DB8" w:rsidRDefault="0018030C" w:rsidP="0018030C">
      <w:pPr>
        <w:pStyle w:val="Bodycopy"/>
        <w:rPr>
          <w:rFonts w:ascii="Arial" w:hAnsi="Arial" w:cs="Arial"/>
          <w:sz w:val="22"/>
          <w:szCs w:val="22"/>
        </w:rPr>
      </w:pPr>
    </w:p>
    <w:p w14:paraId="63CC5BCF"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rPr>
        <w:t xml:space="preserve">3.49 </w:t>
      </w:r>
      <w:r w:rsidRPr="002B1DB8">
        <w:rPr>
          <w:rFonts w:ascii="Arial" w:hAnsi="Arial" w:cs="Arial"/>
          <w:sz w:val="22"/>
          <w:szCs w:val="22"/>
          <w:highlight w:val="yellow"/>
        </w:rPr>
        <w:t>In February 2017, HMPPS introduced market supplements for 31 sites across England and Wales for a period of four years, adding further complexity to the Fair and Sustainable pay structure. As at 30 September 2021 there were 2,142 Band 3 Prison Officers in receipt of the £3,000 ‘amber’ market supplement and 2,504 Band 3 Prison Officers in receipt of the £5,000 ‘red’ market supplement. An additional 613 Band 2 staff were in receipt of a ‘red’ site market supplement (£875 for an Outer London ‘red’ site or £900 for a National ‘red’ site.).</w:t>
      </w:r>
      <w:r w:rsidRPr="002B1DB8">
        <w:rPr>
          <w:rFonts w:ascii="Arial" w:hAnsi="Arial" w:cs="Arial"/>
          <w:sz w:val="22"/>
          <w:szCs w:val="22"/>
        </w:rPr>
        <w:t xml:space="preserve"> </w:t>
      </w:r>
    </w:p>
    <w:p w14:paraId="31EAFA54" w14:textId="77777777" w:rsidR="0018030C" w:rsidRPr="002B1DB8" w:rsidRDefault="0018030C" w:rsidP="0018030C">
      <w:pPr>
        <w:pStyle w:val="Bodycopy"/>
        <w:rPr>
          <w:rFonts w:ascii="Arial" w:hAnsi="Arial" w:cs="Arial"/>
          <w:sz w:val="22"/>
          <w:szCs w:val="22"/>
        </w:rPr>
      </w:pPr>
    </w:p>
    <w:p w14:paraId="1E923219"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highlight w:val="yellow"/>
        </w:rPr>
        <w:t>In total, this is an increase of around 460 more staff eligible for receiving market supplements than in September 2020. Market supplements do not form part of pensionable pay.</w:t>
      </w:r>
      <w:r w:rsidRPr="002B1DB8">
        <w:rPr>
          <w:rFonts w:ascii="Arial" w:hAnsi="Arial" w:cs="Arial"/>
          <w:sz w:val="22"/>
          <w:szCs w:val="22"/>
        </w:rPr>
        <w:t xml:space="preserve"> </w:t>
      </w:r>
    </w:p>
    <w:p w14:paraId="6998AACB" w14:textId="77777777" w:rsidR="0018030C" w:rsidRPr="002B1DB8" w:rsidRDefault="0018030C" w:rsidP="0018030C">
      <w:pPr>
        <w:pStyle w:val="Bodycopy"/>
        <w:rPr>
          <w:rFonts w:ascii="Arial" w:hAnsi="Arial" w:cs="Arial"/>
          <w:sz w:val="22"/>
          <w:szCs w:val="22"/>
        </w:rPr>
      </w:pPr>
    </w:p>
    <w:p w14:paraId="20DD130D"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rPr>
        <w:t xml:space="preserve">3.50 The establishments eligible for a market supplement are those that HMPPS consider have, or have had, recruitment and retention issues – ‘amber’ sites where recruitment is still possible but difficult, and ‘red’ sites where the Service is unable to recruit the staff it requires despite significant efforts. </w:t>
      </w:r>
      <w:r w:rsidRPr="002B1DB8">
        <w:rPr>
          <w:rFonts w:ascii="Arial" w:hAnsi="Arial" w:cs="Arial"/>
          <w:sz w:val="22"/>
          <w:szCs w:val="22"/>
          <w:highlight w:val="yellow"/>
        </w:rPr>
        <w:t>In 2019 HMP &amp; YOI Winchester was added as a ‘red’ market supplement site. The following year Medway Secure Training Centre, a ‘red’ market supplement site, closed.</w:t>
      </w:r>
      <w:r w:rsidRPr="002B1DB8">
        <w:rPr>
          <w:rFonts w:ascii="Arial" w:hAnsi="Arial" w:cs="Arial"/>
          <w:sz w:val="22"/>
          <w:szCs w:val="22"/>
        </w:rPr>
        <w:t xml:space="preserve"> </w:t>
      </w:r>
    </w:p>
    <w:p w14:paraId="5C30A360" w14:textId="77777777" w:rsidR="0018030C" w:rsidRPr="002B1DB8" w:rsidRDefault="0018030C" w:rsidP="0018030C">
      <w:pPr>
        <w:pStyle w:val="Bodycopy"/>
        <w:rPr>
          <w:rFonts w:ascii="Arial" w:hAnsi="Arial" w:cs="Arial"/>
          <w:sz w:val="22"/>
          <w:szCs w:val="22"/>
        </w:rPr>
      </w:pPr>
    </w:p>
    <w:p w14:paraId="50F888EB"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rPr>
        <w:t xml:space="preserve">3.51 Between August and December 2019, HMPPS conducted a review of market supplements, testing how effective it had been in the recruitment and retention of Prison Officers. </w:t>
      </w:r>
      <w:r w:rsidRPr="002B1DB8">
        <w:rPr>
          <w:rFonts w:ascii="Arial" w:hAnsi="Arial" w:cs="Arial"/>
          <w:sz w:val="22"/>
          <w:szCs w:val="22"/>
          <w:highlight w:val="yellow"/>
        </w:rPr>
        <w:t>The review found that market supplements had been effective at slowing resignation rates between March 2017-18 but that these rates had started to rise again from March 2018 due to increased competition from comparable roles, such as the Police. Pay emerged as a “constant and consistent” reason for why staff were leaving, with the retention of experienced staff becoming increasingly challenging.</w:t>
      </w:r>
      <w:r w:rsidRPr="002B1DB8">
        <w:rPr>
          <w:rFonts w:ascii="Arial" w:hAnsi="Arial" w:cs="Arial"/>
          <w:sz w:val="22"/>
          <w:szCs w:val="22"/>
        </w:rPr>
        <w:t xml:space="preserve"> </w:t>
      </w:r>
    </w:p>
    <w:p w14:paraId="69A9808D" w14:textId="77777777" w:rsidR="0018030C" w:rsidRPr="002B1DB8" w:rsidRDefault="0018030C" w:rsidP="0018030C">
      <w:pPr>
        <w:pStyle w:val="Bodycopy"/>
        <w:rPr>
          <w:rFonts w:ascii="Arial" w:hAnsi="Arial" w:cs="Arial"/>
          <w:sz w:val="22"/>
          <w:szCs w:val="22"/>
        </w:rPr>
      </w:pPr>
    </w:p>
    <w:p w14:paraId="26B5919E"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highlight w:val="yellow"/>
        </w:rPr>
        <w:t>The HMPPS review concluded that market supplements should remain in place after April 2021, and potentially be expanded, because removing them would work against the need to retain staff in an increasingly competitive labour market.</w:t>
      </w:r>
      <w:r w:rsidRPr="002B1DB8">
        <w:rPr>
          <w:rFonts w:ascii="Arial" w:hAnsi="Arial" w:cs="Arial"/>
          <w:sz w:val="22"/>
          <w:szCs w:val="22"/>
        </w:rPr>
        <w:t xml:space="preserve"> </w:t>
      </w:r>
    </w:p>
    <w:p w14:paraId="1EA01F8F" w14:textId="77777777" w:rsidR="0018030C" w:rsidRPr="002B1DB8" w:rsidRDefault="0018030C" w:rsidP="0018030C">
      <w:pPr>
        <w:pStyle w:val="Bodycopy"/>
        <w:rPr>
          <w:rFonts w:ascii="Arial" w:hAnsi="Arial" w:cs="Arial"/>
          <w:sz w:val="22"/>
          <w:szCs w:val="22"/>
        </w:rPr>
      </w:pPr>
    </w:p>
    <w:p w14:paraId="7FE77D86"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rPr>
        <w:t>3.52 We had serious concerns, not only about the ripple effect that market supplements were having at other prisons, but about the possibility of yet more tiers being added to an already complex and unequal pay system by expanding their use. Our own data showed that there was an insufficiently competitive level of pay for Band 3 Prison Officers and that retention was a wider problem across the whole prison estate.</w:t>
      </w:r>
    </w:p>
    <w:p w14:paraId="6EC76FF1" w14:textId="77777777" w:rsidR="0018030C" w:rsidRPr="002B1DB8" w:rsidRDefault="0018030C" w:rsidP="0018030C">
      <w:pPr>
        <w:pStyle w:val="Bodycopy"/>
        <w:rPr>
          <w:rFonts w:ascii="Arial" w:hAnsi="Arial" w:cs="Arial"/>
          <w:sz w:val="22"/>
          <w:szCs w:val="22"/>
        </w:rPr>
      </w:pPr>
    </w:p>
    <w:p w14:paraId="741E70E6" w14:textId="77777777" w:rsidR="0018030C" w:rsidRPr="002B1DB8" w:rsidRDefault="0018030C" w:rsidP="0018030C">
      <w:pPr>
        <w:pStyle w:val="Bodycopy"/>
        <w:rPr>
          <w:rFonts w:ascii="Arial" w:hAnsi="Arial" w:cs="Arial"/>
          <w:sz w:val="22"/>
          <w:szCs w:val="22"/>
        </w:rPr>
      </w:pPr>
      <w:r w:rsidRPr="002B1DB8">
        <w:rPr>
          <w:rFonts w:ascii="Arial" w:hAnsi="Arial" w:cs="Arial"/>
          <w:sz w:val="22"/>
          <w:szCs w:val="22"/>
        </w:rPr>
        <w:t xml:space="preserve">3.54 In its written evidence this year HMPPS confirmed its continued commitment to the market supplements, stating that Her Majesty’s Treasury had approved an extension of the supplements to be paid until 31 March 2023. It informed us that it did not believe large scale increases to base pay at Band 3 was an effective or cost-effective method to remove the supplements. HMPPS did however, recognise our concerns about market supplements and stated that it would start the process of eroding them this year. </w:t>
      </w:r>
    </w:p>
    <w:p w14:paraId="4EDE2D9A" w14:textId="77777777" w:rsidR="0018030C" w:rsidRPr="002B1DB8" w:rsidRDefault="0018030C" w:rsidP="0018030C">
      <w:pPr>
        <w:pStyle w:val="Bodycopy"/>
        <w:rPr>
          <w:rFonts w:ascii="Arial" w:hAnsi="Arial" w:cs="Arial"/>
          <w:sz w:val="22"/>
          <w:szCs w:val="22"/>
        </w:rPr>
      </w:pPr>
    </w:p>
    <w:p w14:paraId="3C884523" w14:textId="77777777" w:rsidR="0018030C" w:rsidRPr="00F95A0F" w:rsidRDefault="0018030C" w:rsidP="0018030C">
      <w:pPr>
        <w:pStyle w:val="Bodycopy"/>
        <w:rPr>
          <w:rFonts w:ascii="Arial" w:hAnsi="Arial" w:cs="Arial"/>
          <w:sz w:val="24"/>
          <w:szCs w:val="24"/>
        </w:rPr>
      </w:pPr>
      <w:r w:rsidRPr="002B1DB8">
        <w:rPr>
          <w:rFonts w:ascii="Arial" w:hAnsi="Arial" w:cs="Arial"/>
          <w:sz w:val="22"/>
          <w:szCs w:val="22"/>
          <w:highlight w:val="yellow"/>
        </w:rPr>
        <w:t>3.55 In March this year, after written evidence had been submitted and exchanged with all the parties, we were informed by HMPPS that it planned to expand the use of the market supplements and introduce a new £6,500 ‘red plus’ tier for Band 3 staff.</w:t>
      </w:r>
      <w:r w:rsidRPr="00E03423">
        <w:rPr>
          <w:rFonts w:ascii="Arial" w:hAnsi="Arial" w:cs="Arial"/>
          <w:sz w:val="24"/>
          <w:szCs w:val="24"/>
          <w:highlight w:val="yellow"/>
        </w:rPr>
        <w:t xml:space="preserve"> The changes included: • The ‘red plus’ market supplement to be introduced at Bullingdon, Woodhill and Aylesbury.</w:t>
      </w:r>
    </w:p>
    <w:p w14:paraId="52D12189" w14:textId="77777777" w:rsidR="0018030C" w:rsidRPr="00F95A0F" w:rsidRDefault="0018030C" w:rsidP="0018030C">
      <w:pPr>
        <w:pStyle w:val="Bodycopy"/>
        <w:rPr>
          <w:rFonts w:ascii="Arial" w:hAnsi="Arial" w:cs="Arial"/>
          <w:sz w:val="24"/>
          <w:szCs w:val="24"/>
        </w:rPr>
      </w:pPr>
    </w:p>
    <w:p w14:paraId="3C006C19" w14:textId="77777777" w:rsidR="0018030C" w:rsidRPr="00F95A0F" w:rsidRDefault="0018030C" w:rsidP="0018030C">
      <w:pPr>
        <w:pStyle w:val="Bodycopy"/>
        <w:rPr>
          <w:rFonts w:ascii="Arial" w:hAnsi="Arial" w:cs="Arial"/>
          <w:sz w:val="24"/>
          <w:szCs w:val="24"/>
        </w:rPr>
      </w:pPr>
      <w:r w:rsidRPr="00F95A0F">
        <w:rPr>
          <w:rFonts w:ascii="Arial" w:hAnsi="Arial" w:cs="Arial"/>
          <w:sz w:val="24"/>
          <w:szCs w:val="24"/>
        </w:rPr>
        <w:t>The establishments eligible for the ‘red plus’ market supplement were those that had projected target staffing levels falling below 80% at or before September 2022. • ‘</w:t>
      </w:r>
    </w:p>
    <w:p w14:paraId="773FC110" w14:textId="77777777" w:rsidR="0018030C" w:rsidRPr="00F95A0F" w:rsidRDefault="0018030C" w:rsidP="0018030C">
      <w:pPr>
        <w:pStyle w:val="Bodycopy"/>
        <w:rPr>
          <w:rFonts w:ascii="Arial" w:hAnsi="Arial" w:cs="Arial"/>
          <w:sz w:val="24"/>
          <w:szCs w:val="24"/>
        </w:rPr>
      </w:pPr>
    </w:p>
    <w:p w14:paraId="63DE75AD" w14:textId="77777777" w:rsidR="0018030C" w:rsidRPr="00F95A0F" w:rsidRDefault="0018030C" w:rsidP="0018030C">
      <w:pPr>
        <w:pStyle w:val="Bodycopy"/>
        <w:rPr>
          <w:rFonts w:ascii="Arial" w:hAnsi="Arial" w:cs="Arial"/>
          <w:sz w:val="24"/>
          <w:szCs w:val="24"/>
        </w:rPr>
      </w:pPr>
      <w:r w:rsidRPr="00E03423">
        <w:rPr>
          <w:rFonts w:ascii="Arial" w:hAnsi="Arial" w:cs="Arial"/>
          <w:sz w:val="24"/>
          <w:szCs w:val="24"/>
          <w:highlight w:val="yellow"/>
        </w:rPr>
        <w:t>Amber’ market supplements to be introduced at Berwyn, Eastwood Park, Norwich, and Wayland.</w:t>
      </w:r>
      <w:r w:rsidRPr="00F95A0F">
        <w:rPr>
          <w:rFonts w:ascii="Arial" w:hAnsi="Arial" w:cs="Arial"/>
          <w:sz w:val="24"/>
          <w:szCs w:val="24"/>
        </w:rPr>
        <w:t xml:space="preserve"> • </w:t>
      </w:r>
    </w:p>
    <w:p w14:paraId="68555938" w14:textId="77777777" w:rsidR="0018030C" w:rsidRPr="00F95A0F" w:rsidRDefault="0018030C" w:rsidP="0018030C">
      <w:pPr>
        <w:pStyle w:val="Bodycopy"/>
        <w:rPr>
          <w:rFonts w:ascii="Arial" w:hAnsi="Arial" w:cs="Arial"/>
          <w:sz w:val="24"/>
          <w:szCs w:val="24"/>
        </w:rPr>
      </w:pPr>
    </w:p>
    <w:p w14:paraId="2D4C9E59" w14:textId="77777777" w:rsidR="0018030C" w:rsidRPr="00F95A0F" w:rsidRDefault="0018030C" w:rsidP="0018030C">
      <w:pPr>
        <w:pStyle w:val="Bodycopy"/>
        <w:rPr>
          <w:rFonts w:ascii="Arial" w:hAnsi="Arial" w:cs="Arial"/>
          <w:sz w:val="24"/>
          <w:szCs w:val="24"/>
        </w:rPr>
      </w:pPr>
      <w:r w:rsidRPr="00E03423">
        <w:rPr>
          <w:rFonts w:ascii="Arial" w:hAnsi="Arial" w:cs="Arial"/>
          <w:sz w:val="24"/>
          <w:szCs w:val="24"/>
          <w:highlight w:val="yellow"/>
        </w:rPr>
        <w:t>The OSG ‘red’ market supplement to increase by 30% at Bullingdon, Woodhill and Aylesbury. •</w:t>
      </w:r>
      <w:r w:rsidRPr="00F95A0F">
        <w:rPr>
          <w:rFonts w:ascii="Arial" w:hAnsi="Arial" w:cs="Arial"/>
          <w:sz w:val="24"/>
          <w:szCs w:val="24"/>
        </w:rPr>
        <w:t xml:space="preserve"> </w:t>
      </w:r>
    </w:p>
    <w:p w14:paraId="6F639079" w14:textId="77777777" w:rsidR="0018030C" w:rsidRPr="00F95A0F" w:rsidRDefault="0018030C" w:rsidP="0018030C">
      <w:pPr>
        <w:pStyle w:val="Bodycopy"/>
        <w:rPr>
          <w:rFonts w:ascii="Arial" w:hAnsi="Arial" w:cs="Arial"/>
          <w:sz w:val="24"/>
          <w:szCs w:val="24"/>
        </w:rPr>
      </w:pPr>
    </w:p>
    <w:p w14:paraId="59AA717C" w14:textId="77777777" w:rsidR="0018030C" w:rsidRPr="00F95A0F" w:rsidRDefault="0018030C" w:rsidP="0018030C">
      <w:pPr>
        <w:pStyle w:val="Bodycopy"/>
        <w:rPr>
          <w:rFonts w:ascii="Arial" w:hAnsi="Arial" w:cs="Arial"/>
          <w:sz w:val="24"/>
          <w:szCs w:val="24"/>
        </w:rPr>
      </w:pPr>
      <w:r w:rsidRPr="00E03423">
        <w:rPr>
          <w:rFonts w:ascii="Arial" w:hAnsi="Arial" w:cs="Arial"/>
          <w:sz w:val="24"/>
          <w:szCs w:val="24"/>
          <w:highlight w:val="yellow"/>
        </w:rPr>
        <w:t>Seven sites added to a Band 3 ‘watch list’ – Foston Hall, Isle of Wight, Lindholme, Stocken, Swinfen Hall and Warren Hill (on the watch list for the ‘amber’ market supplement) and The Mount (on the watch list for a ‘red plus’ market supplement).</w:t>
      </w:r>
      <w:r w:rsidRPr="00F95A0F">
        <w:rPr>
          <w:rFonts w:ascii="Arial" w:hAnsi="Arial" w:cs="Arial"/>
          <w:sz w:val="24"/>
          <w:szCs w:val="24"/>
        </w:rPr>
        <w:t xml:space="preserve"> </w:t>
      </w:r>
    </w:p>
    <w:p w14:paraId="7AD081E0" w14:textId="77777777" w:rsidR="0018030C" w:rsidRPr="00F95A0F" w:rsidRDefault="0018030C" w:rsidP="0018030C">
      <w:pPr>
        <w:pStyle w:val="Bodycopy"/>
        <w:rPr>
          <w:rFonts w:ascii="Arial" w:hAnsi="Arial" w:cs="Arial"/>
          <w:sz w:val="24"/>
          <w:szCs w:val="24"/>
        </w:rPr>
      </w:pPr>
    </w:p>
    <w:p w14:paraId="2C137ACB" w14:textId="77777777" w:rsidR="0018030C" w:rsidRPr="00F95A0F" w:rsidRDefault="0018030C" w:rsidP="0018030C">
      <w:pPr>
        <w:pStyle w:val="Bodycopy"/>
        <w:rPr>
          <w:rFonts w:ascii="Arial" w:hAnsi="Arial" w:cs="Arial"/>
          <w:sz w:val="24"/>
          <w:szCs w:val="24"/>
        </w:rPr>
      </w:pPr>
      <w:r w:rsidRPr="00F95A0F">
        <w:rPr>
          <w:rFonts w:ascii="Arial" w:hAnsi="Arial" w:cs="Arial"/>
          <w:sz w:val="24"/>
          <w:szCs w:val="24"/>
        </w:rPr>
        <w:t xml:space="preserve">3.56 We were disappointed that these changes were not included in the written evidence submitted by HMPPS and that neither the unions nor the Review Body were consulted before they were implemented in April 2022. These additional market supplements add further complexity into the system and </w:t>
      </w:r>
      <w:r w:rsidRPr="00E03423">
        <w:rPr>
          <w:rFonts w:ascii="Arial" w:hAnsi="Arial" w:cs="Arial"/>
          <w:sz w:val="24"/>
          <w:szCs w:val="24"/>
          <w:highlight w:val="yellow"/>
        </w:rPr>
        <w:t>will potentially result in eligible staff at 41 sites out of 104 public sector prisons receiving a market supplement.</w:t>
      </w:r>
      <w:r w:rsidRPr="00F95A0F">
        <w:rPr>
          <w:rFonts w:ascii="Arial" w:hAnsi="Arial" w:cs="Arial"/>
          <w:sz w:val="24"/>
          <w:szCs w:val="24"/>
        </w:rPr>
        <w:t xml:space="preserve"> </w:t>
      </w:r>
    </w:p>
    <w:p w14:paraId="025A8083" w14:textId="77777777" w:rsidR="0018030C" w:rsidRPr="00F95A0F" w:rsidRDefault="0018030C" w:rsidP="0018030C">
      <w:pPr>
        <w:pStyle w:val="Bodycopy"/>
        <w:rPr>
          <w:rFonts w:ascii="Arial" w:hAnsi="Arial" w:cs="Arial"/>
          <w:sz w:val="24"/>
          <w:szCs w:val="24"/>
        </w:rPr>
      </w:pPr>
    </w:p>
    <w:p w14:paraId="2C40DCC8" w14:textId="77777777" w:rsidR="00037F2E" w:rsidRDefault="0018030C" w:rsidP="0018030C">
      <w:pPr>
        <w:pStyle w:val="Bodycopy"/>
        <w:rPr>
          <w:rFonts w:ascii="Arial" w:hAnsi="Arial" w:cs="Arial"/>
          <w:sz w:val="24"/>
          <w:szCs w:val="24"/>
        </w:rPr>
      </w:pPr>
      <w:r w:rsidRPr="00F95A0F">
        <w:rPr>
          <w:rFonts w:ascii="Arial" w:hAnsi="Arial" w:cs="Arial"/>
          <w:sz w:val="24"/>
          <w:szCs w:val="24"/>
        </w:rPr>
        <w:t>3.57 In oral evidence HMPPS shared with us its serious concerns about staffing projections, particularly running into the summer months. It stated that it could not wait until the Government made a decision on the PSPRB’s 2022 recommendations and that some prisons would be in severe difficulties if the changes to market supplements were not brought in immediately. HMPPS told us that it still planned to erode the market supplements and it hoped that they would be fully eroded by 2027.</w:t>
      </w:r>
    </w:p>
    <w:p w14:paraId="16280E5E" w14:textId="77777777" w:rsidR="00037F2E" w:rsidRDefault="00037F2E" w:rsidP="0018030C">
      <w:pPr>
        <w:pStyle w:val="Bodycopy"/>
        <w:rPr>
          <w:rFonts w:ascii="Arial" w:hAnsi="Arial" w:cs="Arial"/>
          <w:sz w:val="24"/>
          <w:szCs w:val="24"/>
        </w:rPr>
      </w:pPr>
    </w:p>
    <w:p w14:paraId="3F8F43AD" w14:textId="19BBF8F4" w:rsidR="0018030C" w:rsidRDefault="0018030C" w:rsidP="0018030C">
      <w:pPr>
        <w:pStyle w:val="Bodycopy"/>
        <w:rPr>
          <w:rFonts w:ascii="Arial" w:hAnsi="Arial" w:cs="Arial"/>
          <w:sz w:val="24"/>
          <w:szCs w:val="24"/>
        </w:rPr>
      </w:pPr>
      <w:r>
        <w:rPr>
          <w:rFonts w:ascii="Arial" w:hAnsi="Arial" w:cs="Arial"/>
          <w:sz w:val="24"/>
          <w:szCs w:val="24"/>
        </w:rPr>
        <w:t xml:space="preserve">For reference these are the </w:t>
      </w:r>
      <w:r w:rsidR="005945C0">
        <w:rPr>
          <w:rFonts w:ascii="Arial" w:hAnsi="Arial" w:cs="Arial"/>
          <w:sz w:val="24"/>
          <w:szCs w:val="24"/>
        </w:rPr>
        <w:t xml:space="preserve">Prison Service </w:t>
      </w:r>
      <w:r>
        <w:rPr>
          <w:rFonts w:ascii="Arial" w:hAnsi="Arial" w:cs="Arial"/>
          <w:sz w:val="24"/>
          <w:szCs w:val="24"/>
        </w:rPr>
        <w:t>regional market forces supplement</w:t>
      </w:r>
      <w:r w:rsidR="00037F2E">
        <w:rPr>
          <w:rFonts w:ascii="Arial" w:hAnsi="Arial" w:cs="Arial"/>
          <w:sz w:val="24"/>
          <w:szCs w:val="24"/>
        </w:rPr>
        <w:t>s</w:t>
      </w:r>
      <w:r>
        <w:rPr>
          <w:rFonts w:ascii="Arial" w:hAnsi="Arial" w:cs="Arial"/>
          <w:sz w:val="24"/>
          <w:szCs w:val="24"/>
        </w:rPr>
        <w:t xml:space="preserve"> as at April 2022 from the L</w:t>
      </w:r>
      <w:r w:rsidR="002B1DB8">
        <w:rPr>
          <w:rFonts w:ascii="Arial" w:hAnsi="Arial" w:cs="Arial"/>
          <w:sz w:val="24"/>
          <w:szCs w:val="24"/>
        </w:rPr>
        <w:t>abour Research Department</w:t>
      </w:r>
      <w:r>
        <w:rPr>
          <w:rFonts w:ascii="Arial" w:hAnsi="Arial" w:cs="Arial"/>
          <w:sz w:val="24"/>
          <w:szCs w:val="24"/>
        </w:rPr>
        <w:t xml:space="preserve"> Payline database:</w:t>
      </w:r>
    </w:p>
    <w:p w14:paraId="5B4A6315" w14:textId="4FC8108B" w:rsidR="00037F2E" w:rsidRDefault="00037F2E" w:rsidP="0018030C">
      <w:pPr>
        <w:pStyle w:val="Bodycopy"/>
        <w:rPr>
          <w:rFonts w:ascii="Arial" w:hAnsi="Arial" w:cs="Arial"/>
          <w:sz w:val="24"/>
          <w:szCs w:val="24"/>
        </w:rPr>
      </w:pPr>
    </w:p>
    <w:p w14:paraId="492F7E43" w14:textId="3E0B9B0B" w:rsidR="00037F2E" w:rsidRDefault="00037F2E" w:rsidP="0018030C">
      <w:pPr>
        <w:pStyle w:val="Bodycopy"/>
        <w:rPr>
          <w:rFonts w:ascii="Arial" w:hAnsi="Arial" w:cs="Arial"/>
          <w:sz w:val="24"/>
          <w:szCs w:val="24"/>
        </w:rPr>
      </w:pPr>
    </w:p>
    <w:p w14:paraId="5E47D281" w14:textId="04639315" w:rsidR="00037F2E" w:rsidRDefault="00037F2E" w:rsidP="0018030C">
      <w:pPr>
        <w:pStyle w:val="Bodycopy"/>
        <w:rPr>
          <w:rFonts w:ascii="Arial" w:hAnsi="Arial" w:cs="Arial"/>
          <w:sz w:val="24"/>
          <w:szCs w:val="24"/>
        </w:rPr>
      </w:pPr>
    </w:p>
    <w:p w14:paraId="7B0E3589" w14:textId="6B28CFB7" w:rsidR="00037F2E" w:rsidRDefault="00037F2E" w:rsidP="0018030C">
      <w:pPr>
        <w:pStyle w:val="Bodycopy"/>
        <w:rPr>
          <w:rFonts w:ascii="Arial" w:hAnsi="Arial" w:cs="Arial"/>
          <w:sz w:val="24"/>
          <w:szCs w:val="24"/>
        </w:rPr>
      </w:pPr>
    </w:p>
    <w:p w14:paraId="17B57E91" w14:textId="28C5477C" w:rsidR="00037F2E" w:rsidRDefault="00037F2E" w:rsidP="0018030C">
      <w:pPr>
        <w:pStyle w:val="Bodycopy"/>
        <w:rPr>
          <w:rFonts w:ascii="Arial" w:hAnsi="Arial" w:cs="Arial"/>
          <w:sz w:val="24"/>
          <w:szCs w:val="24"/>
        </w:rPr>
      </w:pPr>
    </w:p>
    <w:p w14:paraId="33542C7A" w14:textId="3F3B0249" w:rsidR="00037F2E" w:rsidRDefault="00037F2E" w:rsidP="0018030C">
      <w:pPr>
        <w:pStyle w:val="Bodycopy"/>
        <w:rPr>
          <w:rFonts w:ascii="Arial" w:hAnsi="Arial" w:cs="Arial"/>
          <w:sz w:val="24"/>
          <w:szCs w:val="24"/>
        </w:rPr>
      </w:pPr>
    </w:p>
    <w:p w14:paraId="55D38CAD" w14:textId="77777777" w:rsidR="00037F2E" w:rsidRDefault="00037F2E" w:rsidP="0018030C">
      <w:pPr>
        <w:pStyle w:val="Bodycopy"/>
        <w:rPr>
          <w:rFonts w:ascii="Arial" w:hAnsi="Arial" w:cs="Arial"/>
          <w:sz w:val="24"/>
          <w:szCs w:val="24"/>
        </w:rPr>
      </w:pPr>
    </w:p>
    <w:p w14:paraId="762418E3" w14:textId="77777777" w:rsidR="0018030C" w:rsidRDefault="0018030C" w:rsidP="0018030C">
      <w:pPr>
        <w:pStyle w:val="Bodycopy"/>
        <w:rPr>
          <w:rFonts w:ascii="Arial" w:hAnsi="Arial" w:cs="Arial"/>
          <w:sz w:val="24"/>
          <w:szCs w:val="24"/>
        </w:rPr>
      </w:pPr>
    </w:p>
    <w:p w14:paraId="61DBC2E2" w14:textId="05D45990" w:rsidR="0018030C" w:rsidRDefault="0018030C" w:rsidP="0018030C">
      <w:pPr>
        <w:shd w:val="clear" w:color="auto" w:fill="FFFFFF"/>
        <w:spacing w:before="100" w:beforeAutospacing="1" w:after="100" w:afterAutospacing="1"/>
        <w:rPr>
          <w:rFonts w:ascii="Arial" w:eastAsia="Times New Roman" w:hAnsi="Arial" w:cs="Arial"/>
          <w:color w:val="003333"/>
          <w:sz w:val="19"/>
          <w:szCs w:val="19"/>
          <w:lang w:eastAsia="en-GB"/>
        </w:rPr>
      </w:pPr>
    </w:p>
    <w:p w14:paraId="3E7CA063" w14:textId="77777777" w:rsidR="00927FAF" w:rsidRDefault="00927FAF" w:rsidP="0018030C">
      <w:pPr>
        <w:shd w:val="clear" w:color="auto" w:fill="FFFFFF"/>
        <w:spacing w:before="100" w:beforeAutospacing="1" w:after="100" w:afterAutospacing="1"/>
        <w:rPr>
          <w:rFonts w:ascii="Arial" w:eastAsia="Times New Roman" w:hAnsi="Arial" w:cs="Arial"/>
          <w:color w:val="003333"/>
          <w:sz w:val="19"/>
          <w:szCs w:val="19"/>
          <w:lang w:eastAsia="en-GB"/>
        </w:rPr>
      </w:pPr>
    </w:p>
    <w:tbl>
      <w:tblPr>
        <w:tblpPr w:leftFromText="180" w:rightFromText="180" w:vertAnchor="text" w:horzAnchor="margin" w:tblpY="21"/>
        <w:tblW w:w="5000" w:type="pct"/>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745"/>
        <w:gridCol w:w="523"/>
        <w:gridCol w:w="565"/>
        <w:gridCol w:w="616"/>
        <w:gridCol w:w="761"/>
        <w:gridCol w:w="565"/>
        <w:gridCol w:w="5251"/>
      </w:tblGrid>
      <w:tr w:rsidR="00595A84" w:rsidRPr="00BC6921" w14:paraId="1902034D" w14:textId="77777777" w:rsidTr="00595A84">
        <w:trPr>
          <w:tblCellSpacing w:w="10" w:type="dxa"/>
        </w:trPr>
        <w:tc>
          <w:tcPr>
            <w:tcW w:w="0" w:type="auto"/>
            <w:shd w:val="clear" w:color="auto" w:fill="DADADA"/>
            <w:tcMar>
              <w:top w:w="30" w:type="dxa"/>
              <w:left w:w="30" w:type="dxa"/>
              <w:bottom w:w="30" w:type="dxa"/>
              <w:right w:w="30" w:type="dxa"/>
            </w:tcMar>
            <w:hideMark/>
          </w:tcPr>
          <w:p w14:paraId="5722CB87"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r w:rsidRPr="00BC6921">
              <w:rPr>
                <w:rFonts w:ascii="Trebuchet MS" w:eastAsia="Times New Roman" w:hAnsi="Trebuchet MS" w:cs="Arial"/>
                <w:b/>
                <w:bCs/>
                <w:color w:val="003333"/>
                <w:sz w:val="18"/>
                <w:szCs w:val="18"/>
                <w:lang w:eastAsia="en-GB"/>
              </w:rPr>
              <w:t>Amount</w:t>
            </w:r>
          </w:p>
        </w:tc>
        <w:tc>
          <w:tcPr>
            <w:tcW w:w="0" w:type="auto"/>
            <w:gridSpan w:val="5"/>
            <w:shd w:val="clear" w:color="auto" w:fill="DADADA"/>
            <w:tcMar>
              <w:top w:w="30" w:type="dxa"/>
              <w:left w:w="30" w:type="dxa"/>
              <w:bottom w:w="30" w:type="dxa"/>
              <w:right w:w="30" w:type="dxa"/>
            </w:tcMar>
            <w:hideMark/>
          </w:tcPr>
          <w:p w14:paraId="6CE6F0BA"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r w:rsidRPr="00BC6921">
              <w:rPr>
                <w:rFonts w:ascii="Trebuchet MS" w:eastAsia="Times New Roman" w:hAnsi="Trebuchet MS" w:cs="Arial"/>
                <w:b/>
                <w:bCs/>
                <w:color w:val="003333"/>
                <w:sz w:val="18"/>
                <w:szCs w:val="18"/>
                <w:lang w:eastAsia="en-GB"/>
              </w:rPr>
              <w:t>Coverage</w:t>
            </w:r>
          </w:p>
        </w:tc>
        <w:tc>
          <w:tcPr>
            <w:tcW w:w="0" w:type="auto"/>
            <w:shd w:val="clear" w:color="auto" w:fill="DADADA"/>
            <w:tcMar>
              <w:top w:w="30" w:type="dxa"/>
              <w:left w:w="30" w:type="dxa"/>
              <w:bottom w:w="30" w:type="dxa"/>
              <w:right w:w="30" w:type="dxa"/>
            </w:tcMar>
            <w:hideMark/>
          </w:tcPr>
          <w:p w14:paraId="72AE04FB"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r w:rsidRPr="00BC6921">
              <w:rPr>
                <w:rFonts w:ascii="Trebuchet MS" w:eastAsia="Times New Roman" w:hAnsi="Trebuchet MS" w:cs="Arial"/>
                <w:b/>
                <w:bCs/>
                <w:color w:val="003333"/>
                <w:sz w:val="18"/>
                <w:szCs w:val="18"/>
                <w:lang w:eastAsia="en-GB"/>
              </w:rPr>
              <w:t>Notes</w:t>
            </w:r>
          </w:p>
        </w:tc>
      </w:tr>
      <w:tr w:rsidR="00595A84" w:rsidRPr="00BC6921" w14:paraId="356C2A58" w14:textId="77777777" w:rsidTr="00595A84">
        <w:trPr>
          <w:tblCellSpacing w:w="10" w:type="dxa"/>
        </w:trPr>
        <w:tc>
          <w:tcPr>
            <w:tcW w:w="0" w:type="auto"/>
            <w:shd w:val="clear" w:color="auto" w:fill="DADADA"/>
            <w:tcMar>
              <w:top w:w="30" w:type="dxa"/>
              <w:left w:w="30" w:type="dxa"/>
              <w:bottom w:w="30" w:type="dxa"/>
              <w:right w:w="30" w:type="dxa"/>
            </w:tcMar>
            <w:hideMark/>
          </w:tcPr>
          <w:p w14:paraId="7D456D05"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p>
        </w:tc>
        <w:tc>
          <w:tcPr>
            <w:tcW w:w="0" w:type="auto"/>
            <w:gridSpan w:val="3"/>
            <w:shd w:val="clear" w:color="auto" w:fill="DADADA"/>
            <w:tcMar>
              <w:top w:w="30" w:type="dxa"/>
              <w:left w:w="30" w:type="dxa"/>
              <w:bottom w:w="30" w:type="dxa"/>
              <w:right w:w="30" w:type="dxa"/>
            </w:tcMar>
            <w:hideMark/>
          </w:tcPr>
          <w:p w14:paraId="6B746707"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r w:rsidRPr="00BC6921">
              <w:rPr>
                <w:rFonts w:ascii="Trebuchet MS" w:eastAsia="Times New Roman" w:hAnsi="Trebuchet MS" w:cs="Arial"/>
                <w:b/>
                <w:bCs/>
                <w:color w:val="003333"/>
                <w:sz w:val="18"/>
                <w:szCs w:val="18"/>
                <w:lang w:eastAsia="en-GB"/>
              </w:rPr>
              <w:t>London</w:t>
            </w:r>
          </w:p>
        </w:tc>
        <w:tc>
          <w:tcPr>
            <w:tcW w:w="0" w:type="auto"/>
            <w:gridSpan w:val="2"/>
            <w:shd w:val="clear" w:color="auto" w:fill="DADADA"/>
            <w:tcMar>
              <w:top w:w="30" w:type="dxa"/>
              <w:left w:w="30" w:type="dxa"/>
              <w:bottom w:w="30" w:type="dxa"/>
              <w:right w:w="30" w:type="dxa"/>
            </w:tcMar>
            <w:hideMark/>
          </w:tcPr>
          <w:p w14:paraId="6BA16E74"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p>
        </w:tc>
        <w:tc>
          <w:tcPr>
            <w:tcW w:w="0" w:type="auto"/>
            <w:shd w:val="clear" w:color="auto" w:fill="DADADA"/>
            <w:tcMar>
              <w:top w:w="30" w:type="dxa"/>
              <w:left w:w="30" w:type="dxa"/>
              <w:bottom w:w="30" w:type="dxa"/>
              <w:right w:w="30" w:type="dxa"/>
            </w:tcMar>
            <w:hideMark/>
          </w:tcPr>
          <w:p w14:paraId="2B173C2C" w14:textId="77777777" w:rsidR="00595A84" w:rsidRPr="00BC6921" w:rsidRDefault="00595A84" w:rsidP="00595A84">
            <w:pPr>
              <w:spacing w:line="200" w:lineRule="atLeast"/>
              <w:rPr>
                <w:rFonts w:ascii="Times New Roman" w:eastAsia="Times New Roman" w:hAnsi="Times New Roman" w:cs="Times New Roman"/>
                <w:sz w:val="20"/>
                <w:szCs w:val="20"/>
                <w:lang w:eastAsia="en-GB"/>
              </w:rPr>
            </w:pPr>
          </w:p>
        </w:tc>
      </w:tr>
      <w:tr w:rsidR="00595A84" w:rsidRPr="00BC6921" w14:paraId="19DC04C9" w14:textId="77777777" w:rsidTr="00595A84">
        <w:trPr>
          <w:tblCellSpacing w:w="10" w:type="dxa"/>
        </w:trPr>
        <w:tc>
          <w:tcPr>
            <w:tcW w:w="0" w:type="auto"/>
            <w:shd w:val="clear" w:color="auto" w:fill="DADADA"/>
            <w:tcMar>
              <w:top w:w="30" w:type="dxa"/>
              <w:left w:w="30" w:type="dxa"/>
              <w:bottom w:w="30" w:type="dxa"/>
              <w:right w:w="30" w:type="dxa"/>
            </w:tcMar>
            <w:hideMark/>
          </w:tcPr>
          <w:p w14:paraId="11A13AF4" w14:textId="77777777" w:rsidR="00595A84" w:rsidRPr="00BC6921" w:rsidRDefault="00595A84" w:rsidP="00595A84">
            <w:pPr>
              <w:spacing w:line="200" w:lineRule="atLeast"/>
              <w:rPr>
                <w:rFonts w:ascii="Times New Roman" w:eastAsia="Times New Roman" w:hAnsi="Times New Roman" w:cs="Times New Roman"/>
                <w:sz w:val="20"/>
                <w:szCs w:val="20"/>
                <w:lang w:eastAsia="en-GB"/>
              </w:rPr>
            </w:pPr>
          </w:p>
        </w:tc>
        <w:tc>
          <w:tcPr>
            <w:tcW w:w="0" w:type="auto"/>
            <w:shd w:val="clear" w:color="auto" w:fill="DADADA"/>
            <w:tcMar>
              <w:top w:w="30" w:type="dxa"/>
              <w:left w:w="30" w:type="dxa"/>
              <w:bottom w:w="30" w:type="dxa"/>
              <w:right w:w="30" w:type="dxa"/>
            </w:tcMar>
            <w:hideMark/>
          </w:tcPr>
          <w:p w14:paraId="715F52F7"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r w:rsidRPr="00BC6921">
              <w:rPr>
                <w:rFonts w:ascii="Trebuchet MS" w:eastAsia="Times New Roman" w:hAnsi="Trebuchet MS" w:cs="Arial"/>
                <w:b/>
                <w:bCs/>
                <w:color w:val="003333"/>
                <w:sz w:val="18"/>
                <w:szCs w:val="18"/>
                <w:lang w:eastAsia="en-GB"/>
              </w:rPr>
              <w:t>Inner</w:t>
            </w:r>
          </w:p>
        </w:tc>
        <w:tc>
          <w:tcPr>
            <w:tcW w:w="0" w:type="auto"/>
            <w:shd w:val="clear" w:color="auto" w:fill="DADADA"/>
            <w:tcMar>
              <w:top w:w="30" w:type="dxa"/>
              <w:left w:w="30" w:type="dxa"/>
              <w:bottom w:w="30" w:type="dxa"/>
              <w:right w:w="30" w:type="dxa"/>
            </w:tcMar>
            <w:hideMark/>
          </w:tcPr>
          <w:p w14:paraId="70FED400"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r w:rsidRPr="00BC6921">
              <w:rPr>
                <w:rFonts w:ascii="Trebuchet MS" w:eastAsia="Times New Roman" w:hAnsi="Trebuchet MS" w:cs="Arial"/>
                <w:b/>
                <w:bCs/>
                <w:color w:val="003333"/>
                <w:sz w:val="18"/>
                <w:szCs w:val="18"/>
                <w:lang w:eastAsia="en-GB"/>
              </w:rPr>
              <w:t>Outer</w:t>
            </w:r>
          </w:p>
        </w:tc>
        <w:tc>
          <w:tcPr>
            <w:tcW w:w="0" w:type="auto"/>
            <w:shd w:val="clear" w:color="auto" w:fill="DADADA"/>
            <w:tcMar>
              <w:top w:w="30" w:type="dxa"/>
              <w:left w:w="30" w:type="dxa"/>
              <w:bottom w:w="30" w:type="dxa"/>
              <w:right w:w="30" w:type="dxa"/>
            </w:tcMar>
            <w:hideMark/>
          </w:tcPr>
          <w:p w14:paraId="7B17F104"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r w:rsidRPr="00BC6921">
              <w:rPr>
                <w:rFonts w:ascii="Trebuchet MS" w:eastAsia="Times New Roman" w:hAnsi="Trebuchet MS" w:cs="Arial"/>
                <w:b/>
                <w:bCs/>
                <w:color w:val="003333"/>
                <w:sz w:val="18"/>
                <w:szCs w:val="18"/>
                <w:lang w:eastAsia="en-GB"/>
              </w:rPr>
              <w:t>Fringe</w:t>
            </w:r>
          </w:p>
        </w:tc>
        <w:tc>
          <w:tcPr>
            <w:tcW w:w="0" w:type="auto"/>
            <w:shd w:val="clear" w:color="auto" w:fill="DADADA"/>
            <w:tcMar>
              <w:top w:w="30" w:type="dxa"/>
              <w:left w:w="30" w:type="dxa"/>
              <w:bottom w:w="30" w:type="dxa"/>
              <w:right w:w="30" w:type="dxa"/>
            </w:tcMar>
            <w:hideMark/>
          </w:tcPr>
          <w:p w14:paraId="608631BE"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r w:rsidRPr="00BC6921">
              <w:rPr>
                <w:rFonts w:ascii="Trebuchet MS" w:eastAsia="Times New Roman" w:hAnsi="Trebuchet MS" w:cs="Arial"/>
                <w:b/>
                <w:bCs/>
                <w:color w:val="003333"/>
                <w:sz w:val="18"/>
                <w:szCs w:val="18"/>
                <w:lang w:eastAsia="en-GB"/>
              </w:rPr>
              <w:t>South east</w:t>
            </w:r>
          </w:p>
        </w:tc>
        <w:tc>
          <w:tcPr>
            <w:tcW w:w="0" w:type="auto"/>
            <w:shd w:val="clear" w:color="auto" w:fill="DADADA"/>
            <w:tcMar>
              <w:top w:w="30" w:type="dxa"/>
              <w:left w:w="30" w:type="dxa"/>
              <w:bottom w:w="30" w:type="dxa"/>
              <w:right w:w="30" w:type="dxa"/>
            </w:tcMar>
            <w:hideMark/>
          </w:tcPr>
          <w:p w14:paraId="172F39A4"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r w:rsidRPr="00BC6921">
              <w:rPr>
                <w:rFonts w:ascii="Trebuchet MS" w:eastAsia="Times New Roman" w:hAnsi="Trebuchet MS" w:cs="Arial"/>
                <w:b/>
                <w:bCs/>
                <w:color w:val="003333"/>
                <w:sz w:val="18"/>
                <w:szCs w:val="18"/>
                <w:lang w:eastAsia="en-GB"/>
              </w:rPr>
              <w:t>Other</w:t>
            </w:r>
          </w:p>
        </w:tc>
        <w:tc>
          <w:tcPr>
            <w:tcW w:w="0" w:type="auto"/>
            <w:shd w:val="clear" w:color="auto" w:fill="DADADA"/>
            <w:tcMar>
              <w:top w:w="30" w:type="dxa"/>
              <w:left w:w="30" w:type="dxa"/>
              <w:bottom w:w="30" w:type="dxa"/>
              <w:right w:w="30" w:type="dxa"/>
            </w:tcMar>
            <w:hideMark/>
          </w:tcPr>
          <w:p w14:paraId="09C30679" w14:textId="77777777" w:rsidR="00595A84" w:rsidRPr="00BC6921" w:rsidRDefault="00595A84" w:rsidP="00595A84">
            <w:pPr>
              <w:spacing w:line="200" w:lineRule="atLeast"/>
              <w:rPr>
                <w:rFonts w:ascii="Trebuchet MS" w:eastAsia="Times New Roman" w:hAnsi="Trebuchet MS" w:cs="Arial"/>
                <w:b/>
                <w:bCs/>
                <w:color w:val="003333"/>
                <w:sz w:val="18"/>
                <w:szCs w:val="18"/>
                <w:lang w:eastAsia="en-GB"/>
              </w:rPr>
            </w:pPr>
          </w:p>
        </w:tc>
      </w:tr>
      <w:tr w:rsidR="00595A84" w:rsidRPr="00BC6921" w14:paraId="30BA0DCC" w14:textId="77777777" w:rsidTr="00595A84">
        <w:trPr>
          <w:tblCellSpacing w:w="10" w:type="dxa"/>
        </w:trPr>
        <w:tc>
          <w:tcPr>
            <w:tcW w:w="0" w:type="auto"/>
            <w:shd w:val="clear" w:color="auto" w:fill="FFFFFF"/>
            <w:tcMar>
              <w:top w:w="30" w:type="dxa"/>
              <w:left w:w="30" w:type="dxa"/>
              <w:bottom w:w="30" w:type="dxa"/>
              <w:right w:w="30" w:type="dxa"/>
            </w:tcMar>
            <w:hideMark/>
          </w:tcPr>
          <w:p w14:paraId="28B048AC"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£4,314</w:t>
            </w:r>
          </w:p>
        </w:tc>
        <w:tc>
          <w:tcPr>
            <w:tcW w:w="0" w:type="auto"/>
            <w:shd w:val="clear" w:color="auto" w:fill="FFFFFF"/>
            <w:tcMar>
              <w:top w:w="30" w:type="dxa"/>
              <w:left w:w="30" w:type="dxa"/>
              <w:bottom w:w="30" w:type="dxa"/>
              <w:right w:w="30" w:type="dxa"/>
            </w:tcMar>
            <w:hideMark/>
          </w:tcPr>
          <w:p w14:paraId="0DE0A410" w14:textId="77777777" w:rsidR="00595A84" w:rsidRPr="00BC6921" w:rsidRDefault="00595A84" w:rsidP="00595A84">
            <w:pPr>
              <w:rPr>
                <w:rFonts w:ascii="Arial" w:eastAsia="Times New Roman" w:hAnsi="Arial" w:cs="Arial"/>
                <w:color w:val="003333"/>
                <w:sz w:val="19"/>
                <w:szCs w:val="19"/>
                <w:lang w:eastAsia="en-GB"/>
              </w:rPr>
            </w:pPr>
            <w:r w:rsidRPr="00BC6921">
              <w:rPr>
                <w:rFonts w:ascii="Segoe UI Symbol" w:eastAsia="Times New Roman" w:hAnsi="Segoe UI Symbol" w:cs="Segoe UI Symbol"/>
                <w:color w:val="003333"/>
                <w:sz w:val="19"/>
                <w:szCs w:val="19"/>
                <w:lang w:eastAsia="en-GB"/>
              </w:rPr>
              <w:t>✔</w:t>
            </w:r>
          </w:p>
        </w:tc>
        <w:tc>
          <w:tcPr>
            <w:tcW w:w="0" w:type="auto"/>
            <w:shd w:val="clear" w:color="auto" w:fill="FFFFFF"/>
            <w:tcMar>
              <w:top w:w="30" w:type="dxa"/>
              <w:left w:w="30" w:type="dxa"/>
              <w:bottom w:w="30" w:type="dxa"/>
              <w:right w:w="30" w:type="dxa"/>
            </w:tcMar>
            <w:hideMark/>
          </w:tcPr>
          <w:p w14:paraId="7E02A86A"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4703E9F6"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7C335B27"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593CF0BC"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11EC4905"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Inner London salary differential over maximum National rates for Fair &amp; Sustainable grades</w:t>
            </w:r>
          </w:p>
        </w:tc>
      </w:tr>
      <w:tr w:rsidR="00595A84" w:rsidRPr="00BC6921" w14:paraId="3A5073FA" w14:textId="77777777" w:rsidTr="00595A84">
        <w:trPr>
          <w:tblCellSpacing w:w="10" w:type="dxa"/>
        </w:trPr>
        <w:tc>
          <w:tcPr>
            <w:tcW w:w="0" w:type="auto"/>
            <w:shd w:val="clear" w:color="auto" w:fill="FFFFFF"/>
            <w:tcMar>
              <w:top w:w="30" w:type="dxa"/>
              <w:left w:w="30" w:type="dxa"/>
              <w:bottom w:w="30" w:type="dxa"/>
              <w:right w:w="30" w:type="dxa"/>
            </w:tcMar>
            <w:hideMark/>
          </w:tcPr>
          <w:p w14:paraId="6CB021CD"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£4,250</w:t>
            </w:r>
          </w:p>
        </w:tc>
        <w:tc>
          <w:tcPr>
            <w:tcW w:w="0" w:type="auto"/>
            <w:shd w:val="clear" w:color="auto" w:fill="FFFFFF"/>
            <w:tcMar>
              <w:top w:w="30" w:type="dxa"/>
              <w:left w:w="30" w:type="dxa"/>
              <w:bottom w:w="30" w:type="dxa"/>
              <w:right w:w="30" w:type="dxa"/>
            </w:tcMar>
            <w:hideMark/>
          </w:tcPr>
          <w:p w14:paraId="3C0D9562" w14:textId="77777777" w:rsidR="00595A84" w:rsidRPr="00BC6921" w:rsidRDefault="00595A84" w:rsidP="00595A84">
            <w:pPr>
              <w:rPr>
                <w:rFonts w:ascii="Arial" w:eastAsia="Times New Roman" w:hAnsi="Arial" w:cs="Arial"/>
                <w:color w:val="003333"/>
                <w:sz w:val="19"/>
                <w:szCs w:val="19"/>
                <w:lang w:eastAsia="en-GB"/>
              </w:rPr>
            </w:pPr>
            <w:r w:rsidRPr="00BC6921">
              <w:rPr>
                <w:rFonts w:ascii="Segoe UI Symbol" w:eastAsia="Times New Roman" w:hAnsi="Segoe UI Symbol" w:cs="Segoe UI Symbol"/>
                <w:color w:val="003333"/>
                <w:sz w:val="19"/>
                <w:szCs w:val="19"/>
                <w:lang w:eastAsia="en-GB"/>
              </w:rPr>
              <w:t>✔</w:t>
            </w:r>
          </w:p>
        </w:tc>
        <w:tc>
          <w:tcPr>
            <w:tcW w:w="0" w:type="auto"/>
            <w:shd w:val="clear" w:color="auto" w:fill="FFFFFF"/>
            <w:tcMar>
              <w:top w:w="30" w:type="dxa"/>
              <w:left w:w="30" w:type="dxa"/>
              <w:bottom w:w="30" w:type="dxa"/>
              <w:right w:w="30" w:type="dxa"/>
            </w:tcMar>
            <w:hideMark/>
          </w:tcPr>
          <w:p w14:paraId="70289742"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603FA3D4"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047CE8BE"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46F963A4"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68706145"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Brixton, Pentonville, Wandsworth, Wormwood Scrubs</w:t>
            </w:r>
            <w:r w:rsidRPr="00BC6921">
              <w:rPr>
                <w:rFonts w:ascii="Arial" w:eastAsia="Times New Roman" w:hAnsi="Arial" w:cs="Arial"/>
                <w:color w:val="003333"/>
                <w:sz w:val="19"/>
                <w:szCs w:val="19"/>
                <w:lang w:eastAsia="en-GB"/>
              </w:rPr>
              <w:br/>
              <w:t>Locality Pay Allowance for closed grades.</w:t>
            </w:r>
          </w:p>
        </w:tc>
      </w:tr>
      <w:tr w:rsidR="00595A84" w:rsidRPr="00BC6921" w14:paraId="010C1033" w14:textId="77777777" w:rsidTr="00595A84">
        <w:trPr>
          <w:tblCellSpacing w:w="10" w:type="dxa"/>
        </w:trPr>
        <w:tc>
          <w:tcPr>
            <w:tcW w:w="0" w:type="auto"/>
            <w:shd w:val="clear" w:color="auto" w:fill="FFFFFF"/>
            <w:tcMar>
              <w:top w:w="30" w:type="dxa"/>
              <w:left w:w="30" w:type="dxa"/>
              <w:bottom w:w="30" w:type="dxa"/>
              <w:right w:w="30" w:type="dxa"/>
            </w:tcMar>
            <w:hideMark/>
          </w:tcPr>
          <w:p w14:paraId="3B7E047A"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£4,000</w:t>
            </w:r>
          </w:p>
        </w:tc>
        <w:tc>
          <w:tcPr>
            <w:tcW w:w="0" w:type="auto"/>
            <w:shd w:val="clear" w:color="auto" w:fill="FFFFFF"/>
            <w:tcMar>
              <w:top w:w="30" w:type="dxa"/>
              <w:left w:w="30" w:type="dxa"/>
              <w:bottom w:w="30" w:type="dxa"/>
              <w:right w:w="30" w:type="dxa"/>
            </w:tcMar>
            <w:hideMark/>
          </w:tcPr>
          <w:p w14:paraId="6C7EA12C" w14:textId="77777777" w:rsidR="00595A84" w:rsidRPr="00BC6921" w:rsidRDefault="00595A84" w:rsidP="00595A84">
            <w:pPr>
              <w:rPr>
                <w:rFonts w:ascii="Arial" w:eastAsia="Times New Roman" w:hAnsi="Arial" w:cs="Arial"/>
                <w:color w:val="003333"/>
                <w:sz w:val="19"/>
                <w:szCs w:val="19"/>
                <w:lang w:eastAsia="en-GB"/>
              </w:rPr>
            </w:pPr>
            <w:r w:rsidRPr="00BC6921">
              <w:rPr>
                <w:rFonts w:ascii="Segoe UI Symbol" w:eastAsia="Times New Roman" w:hAnsi="Segoe UI Symbol" w:cs="Segoe UI Symbol"/>
                <w:color w:val="003333"/>
                <w:sz w:val="19"/>
                <w:szCs w:val="19"/>
                <w:lang w:eastAsia="en-GB"/>
              </w:rPr>
              <w:t>✔</w:t>
            </w:r>
          </w:p>
        </w:tc>
        <w:tc>
          <w:tcPr>
            <w:tcW w:w="0" w:type="auto"/>
            <w:shd w:val="clear" w:color="auto" w:fill="FFFFFF"/>
            <w:tcMar>
              <w:top w:w="30" w:type="dxa"/>
              <w:left w:w="30" w:type="dxa"/>
              <w:bottom w:w="30" w:type="dxa"/>
              <w:right w:w="30" w:type="dxa"/>
            </w:tcMar>
            <w:hideMark/>
          </w:tcPr>
          <w:p w14:paraId="50FA018E" w14:textId="77777777" w:rsidR="00595A84" w:rsidRPr="00BC6921" w:rsidRDefault="00595A84" w:rsidP="00595A84">
            <w:pPr>
              <w:rPr>
                <w:rFonts w:ascii="Arial" w:eastAsia="Times New Roman" w:hAnsi="Arial" w:cs="Arial"/>
                <w:color w:val="003333"/>
                <w:sz w:val="19"/>
                <w:szCs w:val="19"/>
                <w:lang w:eastAsia="en-GB"/>
              </w:rPr>
            </w:pPr>
            <w:r w:rsidRPr="00BC6921">
              <w:rPr>
                <w:rFonts w:ascii="Segoe UI Symbol" w:eastAsia="Times New Roman" w:hAnsi="Segoe UI Symbol" w:cs="Segoe UI Symbol"/>
                <w:color w:val="003333"/>
                <w:sz w:val="19"/>
                <w:szCs w:val="19"/>
                <w:lang w:eastAsia="en-GB"/>
              </w:rPr>
              <w:t>✔</w:t>
            </w:r>
          </w:p>
        </w:tc>
        <w:tc>
          <w:tcPr>
            <w:tcW w:w="0" w:type="auto"/>
            <w:shd w:val="clear" w:color="auto" w:fill="FFFFFF"/>
            <w:tcMar>
              <w:top w:w="30" w:type="dxa"/>
              <w:left w:w="30" w:type="dxa"/>
              <w:bottom w:w="30" w:type="dxa"/>
              <w:right w:w="30" w:type="dxa"/>
            </w:tcMar>
            <w:hideMark/>
          </w:tcPr>
          <w:p w14:paraId="221A8612"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6E962013"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10597A4F"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53B5D07C"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Feltham, Huntercombe, The Mount, Westminster HQ</w:t>
            </w:r>
            <w:r w:rsidRPr="00BC6921">
              <w:rPr>
                <w:rFonts w:ascii="Arial" w:eastAsia="Times New Roman" w:hAnsi="Arial" w:cs="Arial"/>
                <w:color w:val="003333"/>
                <w:sz w:val="19"/>
                <w:szCs w:val="19"/>
                <w:lang w:eastAsia="en-GB"/>
              </w:rPr>
              <w:br/>
              <w:t>Locality Pay Allowance for closed grades.</w:t>
            </w:r>
          </w:p>
        </w:tc>
      </w:tr>
      <w:tr w:rsidR="00595A84" w:rsidRPr="00BC6921" w14:paraId="13CE4160" w14:textId="77777777" w:rsidTr="00595A84">
        <w:trPr>
          <w:tblCellSpacing w:w="10" w:type="dxa"/>
        </w:trPr>
        <w:tc>
          <w:tcPr>
            <w:tcW w:w="0" w:type="auto"/>
            <w:shd w:val="clear" w:color="auto" w:fill="FFFFFF"/>
            <w:tcMar>
              <w:top w:w="30" w:type="dxa"/>
              <w:left w:w="30" w:type="dxa"/>
              <w:bottom w:w="30" w:type="dxa"/>
              <w:right w:w="30" w:type="dxa"/>
            </w:tcMar>
            <w:hideMark/>
          </w:tcPr>
          <w:p w14:paraId="46D61E43"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£3,100</w:t>
            </w:r>
          </w:p>
        </w:tc>
        <w:tc>
          <w:tcPr>
            <w:tcW w:w="0" w:type="auto"/>
            <w:shd w:val="clear" w:color="auto" w:fill="FFFFFF"/>
            <w:tcMar>
              <w:top w:w="30" w:type="dxa"/>
              <w:left w:w="30" w:type="dxa"/>
              <w:bottom w:w="30" w:type="dxa"/>
              <w:right w:w="30" w:type="dxa"/>
            </w:tcMar>
            <w:hideMark/>
          </w:tcPr>
          <w:p w14:paraId="1F53D0DA"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6D7FF856"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6166DD79" w14:textId="77777777" w:rsidR="00595A84" w:rsidRPr="00BC6921" w:rsidRDefault="00595A84" w:rsidP="00595A84">
            <w:pPr>
              <w:rPr>
                <w:rFonts w:ascii="Arial" w:eastAsia="Times New Roman" w:hAnsi="Arial" w:cs="Arial"/>
                <w:color w:val="003333"/>
                <w:sz w:val="19"/>
                <w:szCs w:val="19"/>
                <w:lang w:eastAsia="en-GB"/>
              </w:rPr>
            </w:pPr>
            <w:r w:rsidRPr="00BC6921">
              <w:rPr>
                <w:rFonts w:ascii="Segoe UI Symbol" w:eastAsia="Times New Roman" w:hAnsi="Segoe UI Symbol" w:cs="Segoe UI Symbol"/>
                <w:color w:val="003333"/>
                <w:sz w:val="19"/>
                <w:szCs w:val="19"/>
                <w:lang w:eastAsia="en-GB"/>
              </w:rPr>
              <w:t>✔</w:t>
            </w:r>
          </w:p>
        </w:tc>
        <w:tc>
          <w:tcPr>
            <w:tcW w:w="0" w:type="auto"/>
            <w:shd w:val="clear" w:color="auto" w:fill="FFFFFF"/>
            <w:tcMar>
              <w:top w:w="30" w:type="dxa"/>
              <w:left w:w="30" w:type="dxa"/>
              <w:bottom w:w="30" w:type="dxa"/>
              <w:right w:w="30" w:type="dxa"/>
            </w:tcMar>
            <w:hideMark/>
          </w:tcPr>
          <w:p w14:paraId="424B49E4"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5D5E8EFC"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0FA04D9D"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Belmarsh, Bronzefield, Coldingley, Downview, High Down, Isis, Send</w:t>
            </w:r>
            <w:r w:rsidRPr="00BC6921">
              <w:rPr>
                <w:rFonts w:ascii="Arial" w:eastAsia="Times New Roman" w:hAnsi="Arial" w:cs="Arial"/>
                <w:color w:val="003333"/>
                <w:sz w:val="19"/>
                <w:szCs w:val="19"/>
                <w:lang w:eastAsia="en-GB"/>
              </w:rPr>
              <w:br/>
              <w:t>Locality Pay Allowance for closed grades. Bronzefield - payable to eligible staff in the Controller's office</w:t>
            </w:r>
          </w:p>
        </w:tc>
      </w:tr>
      <w:tr w:rsidR="00595A84" w:rsidRPr="00BC6921" w14:paraId="3EDCC269" w14:textId="77777777" w:rsidTr="00595A84">
        <w:trPr>
          <w:tblCellSpacing w:w="10" w:type="dxa"/>
        </w:trPr>
        <w:tc>
          <w:tcPr>
            <w:tcW w:w="0" w:type="auto"/>
            <w:shd w:val="clear" w:color="auto" w:fill="FFFFFF"/>
            <w:tcMar>
              <w:top w:w="30" w:type="dxa"/>
              <w:left w:w="30" w:type="dxa"/>
              <w:bottom w:w="30" w:type="dxa"/>
              <w:right w:w="30" w:type="dxa"/>
            </w:tcMar>
            <w:hideMark/>
          </w:tcPr>
          <w:p w14:paraId="6AAEC256"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£2,836</w:t>
            </w:r>
          </w:p>
        </w:tc>
        <w:tc>
          <w:tcPr>
            <w:tcW w:w="0" w:type="auto"/>
            <w:shd w:val="clear" w:color="auto" w:fill="FFFFFF"/>
            <w:tcMar>
              <w:top w:w="30" w:type="dxa"/>
              <w:left w:w="30" w:type="dxa"/>
              <w:bottom w:w="30" w:type="dxa"/>
              <w:right w:w="30" w:type="dxa"/>
            </w:tcMar>
            <w:hideMark/>
          </w:tcPr>
          <w:p w14:paraId="4D623B80"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4C918AAC" w14:textId="77777777" w:rsidR="00595A84" w:rsidRPr="00BC6921" w:rsidRDefault="00595A84" w:rsidP="00595A84">
            <w:pPr>
              <w:rPr>
                <w:rFonts w:ascii="Arial" w:eastAsia="Times New Roman" w:hAnsi="Arial" w:cs="Arial"/>
                <w:color w:val="003333"/>
                <w:sz w:val="19"/>
                <w:szCs w:val="19"/>
                <w:lang w:eastAsia="en-GB"/>
              </w:rPr>
            </w:pPr>
            <w:r w:rsidRPr="00BC6921">
              <w:rPr>
                <w:rFonts w:ascii="Segoe UI Symbol" w:eastAsia="Times New Roman" w:hAnsi="Segoe UI Symbol" w:cs="Segoe UI Symbol"/>
                <w:color w:val="003333"/>
                <w:sz w:val="19"/>
                <w:szCs w:val="19"/>
                <w:lang w:eastAsia="en-GB"/>
              </w:rPr>
              <w:t>✔</w:t>
            </w:r>
          </w:p>
        </w:tc>
        <w:tc>
          <w:tcPr>
            <w:tcW w:w="0" w:type="auto"/>
            <w:shd w:val="clear" w:color="auto" w:fill="FFFFFF"/>
            <w:tcMar>
              <w:top w:w="30" w:type="dxa"/>
              <w:left w:w="30" w:type="dxa"/>
              <w:bottom w:w="30" w:type="dxa"/>
              <w:right w:w="30" w:type="dxa"/>
            </w:tcMar>
            <w:hideMark/>
          </w:tcPr>
          <w:p w14:paraId="0681B4EA"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390632F9"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3DDE5C9D"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1693CAEE"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Outer London salary differential over maximum National rates for Fair &amp; Sustainable grades</w:t>
            </w:r>
          </w:p>
        </w:tc>
      </w:tr>
      <w:tr w:rsidR="00595A84" w:rsidRPr="00BC6921" w14:paraId="273B99B1" w14:textId="77777777" w:rsidTr="00595A84">
        <w:trPr>
          <w:tblCellSpacing w:w="10" w:type="dxa"/>
        </w:trPr>
        <w:tc>
          <w:tcPr>
            <w:tcW w:w="0" w:type="auto"/>
            <w:shd w:val="clear" w:color="auto" w:fill="FFFFFF"/>
            <w:tcMar>
              <w:top w:w="30" w:type="dxa"/>
              <w:left w:w="30" w:type="dxa"/>
              <w:bottom w:w="30" w:type="dxa"/>
              <w:right w:w="30" w:type="dxa"/>
            </w:tcMar>
            <w:hideMark/>
          </w:tcPr>
          <w:p w14:paraId="361B0798"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£2,600</w:t>
            </w:r>
          </w:p>
        </w:tc>
        <w:tc>
          <w:tcPr>
            <w:tcW w:w="0" w:type="auto"/>
            <w:shd w:val="clear" w:color="auto" w:fill="FFFFFF"/>
            <w:tcMar>
              <w:top w:w="30" w:type="dxa"/>
              <w:left w:w="30" w:type="dxa"/>
              <w:bottom w:w="30" w:type="dxa"/>
              <w:right w:w="30" w:type="dxa"/>
            </w:tcMar>
            <w:hideMark/>
          </w:tcPr>
          <w:p w14:paraId="45FF16B4"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6616D1FA"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148254D1"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66FC861A" w14:textId="77777777" w:rsidR="00595A84" w:rsidRPr="00BC6921" w:rsidRDefault="00595A84" w:rsidP="00595A84">
            <w:pPr>
              <w:rPr>
                <w:rFonts w:ascii="Arial" w:eastAsia="Times New Roman" w:hAnsi="Arial" w:cs="Arial"/>
                <w:color w:val="003333"/>
                <w:sz w:val="19"/>
                <w:szCs w:val="19"/>
                <w:lang w:eastAsia="en-GB"/>
              </w:rPr>
            </w:pPr>
            <w:r w:rsidRPr="00BC6921">
              <w:rPr>
                <w:rFonts w:ascii="Segoe UI Symbol" w:eastAsia="Times New Roman" w:hAnsi="Segoe UI Symbol" w:cs="Segoe UI Symbol"/>
                <w:color w:val="003333"/>
                <w:sz w:val="19"/>
                <w:szCs w:val="19"/>
                <w:lang w:eastAsia="en-GB"/>
              </w:rPr>
              <w:t>✔</w:t>
            </w:r>
          </w:p>
        </w:tc>
        <w:tc>
          <w:tcPr>
            <w:tcW w:w="0" w:type="auto"/>
            <w:shd w:val="clear" w:color="auto" w:fill="FFFFFF"/>
            <w:tcMar>
              <w:top w:w="30" w:type="dxa"/>
              <w:left w:w="30" w:type="dxa"/>
              <w:bottom w:w="30" w:type="dxa"/>
              <w:right w:w="30" w:type="dxa"/>
            </w:tcMar>
            <w:hideMark/>
          </w:tcPr>
          <w:p w14:paraId="00B18BC9"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364C468F"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Aylesbury, Bedford, Bullingdon, Chelmsford, Grendon/Springhill, Woodhill</w:t>
            </w:r>
            <w:r w:rsidRPr="00BC6921">
              <w:rPr>
                <w:rFonts w:ascii="Arial" w:eastAsia="Times New Roman" w:hAnsi="Arial" w:cs="Arial"/>
                <w:color w:val="003333"/>
                <w:sz w:val="19"/>
                <w:szCs w:val="19"/>
                <w:lang w:eastAsia="en-GB"/>
              </w:rPr>
              <w:br/>
              <w:t>Locality Pay Allowance for closed grades.</w:t>
            </w:r>
          </w:p>
        </w:tc>
      </w:tr>
      <w:tr w:rsidR="00595A84" w:rsidRPr="00BC6921" w14:paraId="517E4383" w14:textId="77777777" w:rsidTr="00595A84">
        <w:trPr>
          <w:tblCellSpacing w:w="10" w:type="dxa"/>
        </w:trPr>
        <w:tc>
          <w:tcPr>
            <w:tcW w:w="0" w:type="auto"/>
            <w:shd w:val="clear" w:color="auto" w:fill="FFFFFF"/>
            <w:tcMar>
              <w:top w:w="30" w:type="dxa"/>
              <w:left w:w="30" w:type="dxa"/>
              <w:bottom w:w="30" w:type="dxa"/>
              <w:right w:w="30" w:type="dxa"/>
            </w:tcMar>
            <w:hideMark/>
          </w:tcPr>
          <w:p w14:paraId="3483F404"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£1,100</w:t>
            </w:r>
          </w:p>
        </w:tc>
        <w:tc>
          <w:tcPr>
            <w:tcW w:w="0" w:type="auto"/>
            <w:shd w:val="clear" w:color="auto" w:fill="FFFFFF"/>
            <w:tcMar>
              <w:top w:w="30" w:type="dxa"/>
              <w:left w:w="30" w:type="dxa"/>
              <w:bottom w:w="30" w:type="dxa"/>
              <w:right w:w="30" w:type="dxa"/>
            </w:tcMar>
            <w:hideMark/>
          </w:tcPr>
          <w:p w14:paraId="453519B1"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212765C8"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7F787242"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4AC44E8E" w14:textId="77777777" w:rsidR="00595A84" w:rsidRPr="00BC6921" w:rsidRDefault="00595A84" w:rsidP="00595A84">
            <w:pPr>
              <w:rPr>
                <w:rFonts w:ascii="Arial" w:eastAsia="Times New Roman" w:hAnsi="Arial" w:cs="Arial"/>
                <w:color w:val="003333"/>
                <w:sz w:val="19"/>
                <w:szCs w:val="19"/>
                <w:lang w:eastAsia="en-GB"/>
              </w:rPr>
            </w:pPr>
            <w:r w:rsidRPr="00BC6921">
              <w:rPr>
                <w:rFonts w:ascii="Segoe UI Symbol" w:eastAsia="Times New Roman" w:hAnsi="Segoe UI Symbol" w:cs="Segoe UI Symbol"/>
                <w:color w:val="003333"/>
                <w:sz w:val="19"/>
                <w:szCs w:val="19"/>
                <w:lang w:eastAsia="en-GB"/>
              </w:rPr>
              <w:t>✔</w:t>
            </w:r>
          </w:p>
        </w:tc>
        <w:tc>
          <w:tcPr>
            <w:tcW w:w="0" w:type="auto"/>
            <w:shd w:val="clear" w:color="auto" w:fill="FFFFFF"/>
            <w:tcMar>
              <w:top w:w="30" w:type="dxa"/>
              <w:left w:w="30" w:type="dxa"/>
              <w:bottom w:w="30" w:type="dxa"/>
              <w:right w:w="30" w:type="dxa"/>
            </w:tcMar>
            <w:hideMark/>
          </w:tcPr>
          <w:p w14:paraId="68066BBC"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595FF671"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Lewes and Winchester</w:t>
            </w:r>
            <w:r w:rsidRPr="00BC6921">
              <w:rPr>
                <w:rFonts w:ascii="Arial" w:eastAsia="Times New Roman" w:hAnsi="Arial" w:cs="Arial"/>
                <w:color w:val="003333"/>
                <w:sz w:val="19"/>
                <w:szCs w:val="19"/>
                <w:lang w:eastAsia="en-GB"/>
              </w:rPr>
              <w:br/>
              <w:t>Locality Pay Allowance for closed grades.</w:t>
            </w:r>
          </w:p>
        </w:tc>
      </w:tr>
      <w:tr w:rsidR="00595A84" w:rsidRPr="00BC6921" w14:paraId="46A86EA4" w14:textId="77777777" w:rsidTr="00595A84">
        <w:trPr>
          <w:tblCellSpacing w:w="10" w:type="dxa"/>
        </w:trPr>
        <w:tc>
          <w:tcPr>
            <w:tcW w:w="0" w:type="auto"/>
            <w:shd w:val="clear" w:color="auto" w:fill="FFFFFF"/>
            <w:tcMar>
              <w:top w:w="30" w:type="dxa"/>
              <w:left w:w="30" w:type="dxa"/>
              <w:bottom w:w="30" w:type="dxa"/>
              <w:right w:w="30" w:type="dxa"/>
            </w:tcMar>
            <w:hideMark/>
          </w:tcPr>
          <w:p w14:paraId="73F0D918"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£250</w:t>
            </w:r>
          </w:p>
        </w:tc>
        <w:tc>
          <w:tcPr>
            <w:tcW w:w="0" w:type="auto"/>
            <w:shd w:val="clear" w:color="auto" w:fill="FFFFFF"/>
            <w:tcMar>
              <w:top w:w="30" w:type="dxa"/>
              <w:left w:w="30" w:type="dxa"/>
              <w:bottom w:w="30" w:type="dxa"/>
              <w:right w:w="30" w:type="dxa"/>
            </w:tcMar>
            <w:hideMark/>
          </w:tcPr>
          <w:p w14:paraId="79C56C1F" w14:textId="77777777" w:rsidR="00595A84" w:rsidRPr="00BC6921" w:rsidRDefault="00595A84" w:rsidP="00595A84">
            <w:pPr>
              <w:rPr>
                <w:rFonts w:ascii="Arial" w:eastAsia="Times New Roman" w:hAnsi="Arial" w:cs="Arial"/>
                <w:color w:val="003333"/>
                <w:sz w:val="19"/>
                <w:szCs w:val="19"/>
                <w:lang w:eastAsia="en-GB"/>
              </w:rPr>
            </w:pPr>
          </w:p>
        </w:tc>
        <w:tc>
          <w:tcPr>
            <w:tcW w:w="0" w:type="auto"/>
            <w:shd w:val="clear" w:color="auto" w:fill="FFFFFF"/>
            <w:tcMar>
              <w:top w:w="30" w:type="dxa"/>
              <w:left w:w="30" w:type="dxa"/>
              <w:bottom w:w="30" w:type="dxa"/>
              <w:right w:w="30" w:type="dxa"/>
            </w:tcMar>
            <w:hideMark/>
          </w:tcPr>
          <w:p w14:paraId="25D1CB96"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7C7C09BD"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3D8E861B" w14:textId="77777777" w:rsidR="00595A84" w:rsidRPr="00BC6921" w:rsidRDefault="00595A84" w:rsidP="00595A84">
            <w:pPr>
              <w:rPr>
                <w:rFonts w:ascii="Times New Roman" w:eastAsia="Times New Roman" w:hAnsi="Times New Roman" w:cs="Times New Roman"/>
                <w:sz w:val="20"/>
                <w:szCs w:val="20"/>
                <w:lang w:eastAsia="en-GB"/>
              </w:rPr>
            </w:pPr>
          </w:p>
        </w:tc>
        <w:tc>
          <w:tcPr>
            <w:tcW w:w="0" w:type="auto"/>
            <w:shd w:val="clear" w:color="auto" w:fill="FFFFFF"/>
            <w:tcMar>
              <w:top w:w="30" w:type="dxa"/>
              <w:left w:w="30" w:type="dxa"/>
              <w:bottom w:w="30" w:type="dxa"/>
              <w:right w:w="30" w:type="dxa"/>
            </w:tcMar>
            <w:hideMark/>
          </w:tcPr>
          <w:p w14:paraId="1FBB89C2" w14:textId="77777777" w:rsidR="00595A84" w:rsidRPr="00BC6921" w:rsidRDefault="00595A84" w:rsidP="00595A84">
            <w:pPr>
              <w:rPr>
                <w:rFonts w:ascii="Arial" w:eastAsia="Times New Roman" w:hAnsi="Arial" w:cs="Arial"/>
                <w:color w:val="003333"/>
                <w:sz w:val="19"/>
                <w:szCs w:val="19"/>
                <w:lang w:eastAsia="en-GB"/>
              </w:rPr>
            </w:pPr>
            <w:r w:rsidRPr="00BC6921">
              <w:rPr>
                <w:rFonts w:ascii="Segoe UI Symbol" w:eastAsia="Times New Roman" w:hAnsi="Segoe UI Symbol" w:cs="Segoe UI Symbol"/>
                <w:color w:val="003333"/>
                <w:sz w:val="19"/>
                <w:szCs w:val="19"/>
                <w:lang w:eastAsia="en-GB"/>
              </w:rPr>
              <w:t>✔</w:t>
            </w:r>
          </w:p>
        </w:tc>
        <w:tc>
          <w:tcPr>
            <w:tcW w:w="0" w:type="auto"/>
            <w:shd w:val="clear" w:color="auto" w:fill="FFFFFF"/>
            <w:tcMar>
              <w:top w:w="30" w:type="dxa"/>
              <w:left w:w="30" w:type="dxa"/>
              <w:bottom w:w="30" w:type="dxa"/>
              <w:right w:w="30" w:type="dxa"/>
            </w:tcMar>
            <w:hideMark/>
          </w:tcPr>
          <w:p w14:paraId="78A0AA0B" w14:textId="77777777" w:rsidR="00595A84" w:rsidRPr="00BC6921" w:rsidRDefault="00595A84" w:rsidP="00595A84">
            <w:pPr>
              <w:rPr>
                <w:rFonts w:ascii="Arial" w:eastAsia="Times New Roman" w:hAnsi="Arial" w:cs="Arial"/>
                <w:color w:val="003333"/>
                <w:sz w:val="19"/>
                <w:szCs w:val="19"/>
                <w:lang w:eastAsia="en-GB"/>
              </w:rPr>
            </w:pPr>
            <w:r w:rsidRPr="00BC6921">
              <w:rPr>
                <w:rFonts w:ascii="Arial" w:eastAsia="Times New Roman" w:hAnsi="Arial" w:cs="Arial"/>
                <w:color w:val="003333"/>
                <w:sz w:val="19"/>
                <w:szCs w:val="19"/>
                <w:lang w:eastAsia="en-GB"/>
              </w:rPr>
              <w:t>Birmingham, Bristol, Littlehey, Long Lartin, Onley</w:t>
            </w:r>
            <w:r w:rsidRPr="00BC6921">
              <w:rPr>
                <w:rFonts w:ascii="Arial" w:eastAsia="Times New Roman" w:hAnsi="Arial" w:cs="Arial"/>
                <w:color w:val="003333"/>
                <w:sz w:val="19"/>
                <w:szCs w:val="19"/>
                <w:lang w:eastAsia="en-GB"/>
              </w:rPr>
              <w:br/>
              <w:t>Locality Pay Allowance for closed grades.</w:t>
            </w:r>
          </w:p>
        </w:tc>
      </w:tr>
    </w:tbl>
    <w:p w14:paraId="5AEB98C0" w14:textId="1B4FE155" w:rsidR="00AD1F13" w:rsidRDefault="00AD1F13" w:rsidP="0018030C">
      <w:pPr>
        <w:shd w:val="clear" w:color="auto" w:fill="FFFFFF"/>
        <w:spacing w:before="100" w:beforeAutospacing="1" w:after="100" w:afterAutospacing="1"/>
        <w:rPr>
          <w:rFonts w:ascii="Arial" w:eastAsia="Times New Roman" w:hAnsi="Arial" w:cs="Arial"/>
          <w:color w:val="003333"/>
          <w:sz w:val="19"/>
          <w:szCs w:val="19"/>
          <w:lang w:eastAsia="en-GB"/>
        </w:rPr>
      </w:pPr>
    </w:p>
    <w:p w14:paraId="62843CB7" w14:textId="061A1339" w:rsidR="00AD1F13" w:rsidRDefault="00AD1F13" w:rsidP="0018030C">
      <w:pPr>
        <w:shd w:val="clear" w:color="auto" w:fill="FFFFFF"/>
        <w:spacing w:before="100" w:beforeAutospacing="1" w:after="100" w:afterAutospacing="1"/>
        <w:rPr>
          <w:rFonts w:ascii="Arial" w:eastAsia="Times New Roman" w:hAnsi="Arial" w:cs="Arial"/>
          <w:color w:val="003333"/>
          <w:sz w:val="19"/>
          <w:szCs w:val="19"/>
          <w:lang w:eastAsia="en-GB"/>
        </w:rPr>
      </w:pPr>
    </w:p>
    <w:p w14:paraId="316023E9" w14:textId="77777777" w:rsidR="00AD1F13" w:rsidRPr="00BC6921" w:rsidRDefault="00AD1F13" w:rsidP="0018030C">
      <w:pPr>
        <w:shd w:val="clear" w:color="auto" w:fill="FFFFFF"/>
        <w:spacing w:before="100" w:beforeAutospacing="1" w:after="100" w:afterAutospacing="1"/>
        <w:rPr>
          <w:rFonts w:ascii="Arial" w:eastAsia="Times New Roman" w:hAnsi="Arial" w:cs="Arial"/>
          <w:color w:val="003333"/>
          <w:sz w:val="19"/>
          <w:szCs w:val="19"/>
          <w:lang w:eastAsia="en-GB"/>
        </w:rPr>
      </w:pPr>
    </w:p>
    <w:p w14:paraId="797A9FA3" w14:textId="77777777" w:rsidR="00F20455" w:rsidRDefault="00F20455" w:rsidP="0018030C">
      <w:pPr>
        <w:pStyle w:val="Bodycopy"/>
        <w:rPr>
          <w:rFonts w:ascii="Arial" w:hAnsi="Arial" w:cs="Arial"/>
          <w:b/>
          <w:bCs/>
          <w:color w:val="auto"/>
          <w:sz w:val="24"/>
          <w:szCs w:val="24"/>
        </w:rPr>
      </w:pPr>
    </w:p>
    <w:p w14:paraId="0DA7808D" w14:textId="77777777" w:rsidR="00F20455" w:rsidRDefault="00F20455" w:rsidP="0018030C">
      <w:pPr>
        <w:pStyle w:val="Bodycopy"/>
        <w:rPr>
          <w:rFonts w:ascii="Arial" w:hAnsi="Arial" w:cs="Arial"/>
          <w:b/>
          <w:bCs/>
          <w:color w:val="auto"/>
          <w:sz w:val="24"/>
          <w:szCs w:val="24"/>
        </w:rPr>
      </w:pPr>
    </w:p>
    <w:p w14:paraId="7AAABAC2" w14:textId="77777777" w:rsidR="002B1DB8" w:rsidRDefault="002B1DB8" w:rsidP="00DB5BD1">
      <w:pPr>
        <w:pStyle w:val="Bodycopy"/>
        <w:rPr>
          <w:rFonts w:ascii="Arial" w:hAnsi="Arial" w:cs="Arial"/>
          <w:b/>
          <w:bCs/>
          <w:color w:val="auto"/>
          <w:sz w:val="24"/>
          <w:szCs w:val="24"/>
        </w:rPr>
      </w:pPr>
    </w:p>
    <w:p w14:paraId="565A5CE9" w14:textId="77777777" w:rsidR="002B1DB8" w:rsidRDefault="002B1DB8" w:rsidP="00DB5BD1">
      <w:pPr>
        <w:pStyle w:val="Bodycopy"/>
        <w:rPr>
          <w:rFonts w:ascii="Arial" w:hAnsi="Arial" w:cs="Arial"/>
          <w:b/>
          <w:bCs/>
          <w:color w:val="auto"/>
          <w:sz w:val="24"/>
          <w:szCs w:val="24"/>
        </w:rPr>
      </w:pPr>
    </w:p>
    <w:p w14:paraId="39A0CB86" w14:textId="77777777" w:rsidR="002B1DB8" w:rsidRDefault="002B1DB8" w:rsidP="00DB5BD1">
      <w:pPr>
        <w:pStyle w:val="Bodycopy"/>
        <w:rPr>
          <w:rFonts w:ascii="Arial" w:hAnsi="Arial" w:cs="Arial"/>
          <w:b/>
          <w:bCs/>
          <w:color w:val="auto"/>
          <w:sz w:val="24"/>
          <w:szCs w:val="24"/>
        </w:rPr>
      </w:pPr>
    </w:p>
    <w:p w14:paraId="431C5DE7" w14:textId="77777777" w:rsidR="002B1DB8" w:rsidRDefault="002B1DB8" w:rsidP="00DB5BD1">
      <w:pPr>
        <w:pStyle w:val="Bodycopy"/>
        <w:rPr>
          <w:rFonts w:ascii="Arial" w:hAnsi="Arial" w:cs="Arial"/>
          <w:b/>
          <w:bCs/>
          <w:color w:val="auto"/>
          <w:sz w:val="24"/>
          <w:szCs w:val="24"/>
        </w:rPr>
      </w:pPr>
    </w:p>
    <w:p w14:paraId="0C679F7F" w14:textId="77777777" w:rsidR="002B1DB8" w:rsidRDefault="002B1DB8" w:rsidP="00DB5BD1">
      <w:pPr>
        <w:pStyle w:val="Bodycopy"/>
        <w:rPr>
          <w:rFonts w:ascii="Arial" w:hAnsi="Arial" w:cs="Arial"/>
          <w:b/>
          <w:bCs/>
          <w:color w:val="auto"/>
          <w:sz w:val="24"/>
          <w:szCs w:val="24"/>
        </w:rPr>
      </w:pPr>
    </w:p>
    <w:p w14:paraId="0ADE56B1" w14:textId="77777777" w:rsidR="002B1DB8" w:rsidRDefault="002B1DB8" w:rsidP="00DB5BD1">
      <w:pPr>
        <w:pStyle w:val="Bodycopy"/>
        <w:rPr>
          <w:rFonts w:ascii="Arial" w:hAnsi="Arial" w:cs="Arial"/>
          <w:b/>
          <w:bCs/>
          <w:color w:val="auto"/>
          <w:sz w:val="24"/>
          <w:szCs w:val="24"/>
        </w:rPr>
      </w:pPr>
    </w:p>
    <w:p w14:paraId="24D2C93D" w14:textId="77777777" w:rsidR="002B1DB8" w:rsidRDefault="002B1DB8" w:rsidP="00DB5BD1">
      <w:pPr>
        <w:pStyle w:val="Bodycopy"/>
        <w:rPr>
          <w:rFonts w:ascii="Arial" w:hAnsi="Arial" w:cs="Arial"/>
          <w:b/>
          <w:bCs/>
          <w:color w:val="auto"/>
          <w:sz w:val="24"/>
          <w:szCs w:val="24"/>
        </w:rPr>
      </w:pPr>
    </w:p>
    <w:p w14:paraId="5FFE15D1" w14:textId="77777777" w:rsidR="002B1DB8" w:rsidRDefault="002B1DB8" w:rsidP="00DB5BD1">
      <w:pPr>
        <w:pStyle w:val="Bodycopy"/>
        <w:rPr>
          <w:rFonts w:ascii="Arial" w:hAnsi="Arial" w:cs="Arial"/>
          <w:b/>
          <w:bCs/>
          <w:color w:val="auto"/>
          <w:sz w:val="24"/>
          <w:szCs w:val="24"/>
        </w:rPr>
      </w:pPr>
    </w:p>
    <w:p w14:paraId="3F530DE7" w14:textId="77777777" w:rsidR="00C054C3" w:rsidRDefault="00C054C3" w:rsidP="00DB5BD1">
      <w:pPr>
        <w:pStyle w:val="Bodycopy"/>
        <w:rPr>
          <w:rFonts w:ascii="Arial" w:hAnsi="Arial" w:cs="Arial"/>
          <w:b/>
          <w:bCs/>
          <w:color w:val="auto"/>
          <w:sz w:val="24"/>
          <w:szCs w:val="24"/>
        </w:rPr>
      </w:pPr>
    </w:p>
    <w:p w14:paraId="415965BD" w14:textId="77777777" w:rsidR="00C054C3" w:rsidRDefault="00C054C3" w:rsidP="00DB5BD1">
      <w:pPr>
        <w:pStyle w:val="Bodycopy"/>
        <w:rPr>
          <w:rFonts w:ascii="Arial" w:hAnsi="Arial" w:cs="Arial"/>
          <w:b/>
          <w:bCs/>
          <w:color w:val="auto"/>
          <w:sz w:val="24"/>
          <w:szCs w:val="24"/>
        </w:rPr>
      </w:pPr>
    </w:p>
    <w:p w14:paraId="6C2969A2" w14:textId="77777777" w:rsidR="00AD1F13" w:rsidRDefault="00AD1F13">
      <w:pPr>
        <w:rPr>
          <w:rFonts w:ascii="Arial" w:hAnsi="Arial" w:cs="Arial"/>
          <w:b/>
          <w:bCs/>
          <w:sz w:val="24"/>
          <w:szCs w:val="24"/>
        </w:rPr>
      </w:pPr>
      <w:r>
        <w:rPr>
          <w:rFonts w:ascii="Arial" w:hAnsi="Arial" w:cs="Arial"/>
          <w:b/>
          <w:bCs/>
          <w:sz w:val="24"/>
          <w:szCs w:val="24"/>
        </w:rPr>
        <w:br w:type="page"/>
      </w:r>
    </w:p>
    <w:p w14:paraId="23F7F534" w14:textId="504E6FF2" w:rsidR="00DB5BD1" w:rsidRDefault="00F20455" w:rsidP="00DB5BD1">
      <w:pPr>
        <w:pStyle w:val="Bodycopy"/>
        <w:rPr>
          <w:rFonts w:ascii="Arial" w:hAnsi="Arial" w:cs="Arial"/>
          <w:b/>
          <w:bCs/>
          <w:color w:val="auto"/>
          <w:sz w:val="24"/>
          <w:szCs w:val="24"/>
        </w:rPr>
      </w:pPr>
      <w:r>
        <w:rPr>
          <w:rFonts w:ascii="Arial" w:hAnsi="Arial" w:cs="Arial"/>
          <w:b/>
          <w:bCs/>
          <w:color w:val="auto"/>
          <w:sz w:val="24"/>
          <w:szCs w:val="24"/>
        </w:rPr>
        <w:t>APPENDIX 2</w:t>
      </w:r>
    </w:p>
    <w:p w14:paraId="15A8A120" w14:textId="77777777" w:rsidR="00DB5BD1" w:rsidRDefault="00DB5BD1" w:rsidP="00DB5BD1">
      <w:pPr>
        <w:pStyle w:val="Bodycopy"/>
        <w:rPr>
          <w:rFonts w:ascii="Arial" w:hAnsi="Arial" w:cs="Arial"/>
          <w:b/>
          <w:bCs/>
          <w:color w:val="auto"/>
          <w:sz w:val="24"/>
          <w:szCs w:val="24"/>
        </w:rPr>
      </w:pPr>
    </w:p>
    <w:p w14:paraId="602D6B4E" w14:textId="6265C081" w:rsidR="00F20455" w:rsidRDefault="00715AF9" w:rsidP="00DB5BD1">
      <w:pPr>
        <w:pStyle w:val="Bodycopy"/>
        <w:rPr>
          <w:rFonts w:ascii="Arial" w:eastAsia="Times New Roman" w:hAnsi="Arial" w:cs="Arial"/>
          <w:b/>
          <w:bCs/>
          <w:color w:val="0B0C0C"/>
          <w:sz w:val="22"/>
          <w:szCs w:val="22"/>
          <w:lang w:eastAsia="en-GB"/>
        </w:rPr>
      </w:pPr>
      <w:r>
        <w:rPr>
          <w:rFonts w:ascii="Arial" w:eastAsia="Times New Roman" w:hAnsi="Arial" w:cs="Arial"/>
          <w:b/>
          <w:bCs/>
          <w:color w:val="0B0C0C"/>
          <w:lang w:eastAsia="en-GB"/>
        </w:rPr>
        <w:t>A</w:t>
      </w:r>
      <w:r w:rsidR="00F20455" w:rsidRPr="00715AF9">
        <w:rPr>
          <w:rFonts w:ascii="Arial" w:eastAsia="Times New Roman" w:hAnsi="Arial" w:cs="Arial"/>
          <w:b/>
          <w:bCs/>
          <w:color w:val="0B0C0C"/>
          <w:sz w:val="22"/>
          <w:szCs w:val="22"/>
          <w:lang w:eastAsia="en-GB"/>
        </w:rPr>
        <w:t>verage price by country and government office region</w:t>
      </w:r>
    </w:p>
    <w:p w14:paraId="7496F538" w14:textId="5E4A55CF" w:rsidR="002B1DB8" w:rsidRDefault="002B1DB8" w:rsidP="00DB5BD1">
      <w:pPr>
        <w:pStyle w:val="Bodycopy"/>
        <w:rPr>
          <w:rFonts w:ascii="Arial" w:eastAsia="Times New Roman" w:hAnsi="Arial" w:cs="Arial"/>
          <w:b/>
          <w:bCs/>
          <w:color w:val="0B0C0C"/>
          <w:sz w:val="22"/>
          <w:szCs w:val="22"/>
          <w:lang w:eastAsia="en-GB"/>
        </w:rPr>
      </w:pPr>
    </w:p>
    <w:p w14:paraId="64CAD8C3" w14:textId="234396FD" w:rsidR="002B1DB8" w:rsidRPr="00DB5BD1" w:rsidRDefault="002B1DB8" w:rsidP="00DB5BD1">
      <w:pPr>
        <w:pStyle w:val="Bodycopy"/>
        <w:rPr>
          <w:rFonts w:ascii="Arial" w:hAnsi="Arial" w:cs="Arial"/>
          <w:b/>
          <w:bCs/>
          <w:color w:val="auto"/>
          <w:sz w:val="24"/>
          <w:szCs w:val="24"/>
        </w:rPr>
      </w:pPr>
      <w:r>
        <w:rPr>
          <w:rFonts w:ascii="Arial" w:eastAsia="Times New Roman" w:hAnsi="Arial" w:cs="Arial"/>
          <w:b/>
          <w:bCs/>
          <w:color w:val="0B0C0C"/>
          <w:sz w:val="22"/>
          <w:szCs w:val="22"/>
          <w:lang w:eastAsia="en-GB"/>
        </w:rPr>
        <w:t>Source: UK House Price Index, published by HM Land Registry</w:t>
      </w:r>
    </w:p>
    <w:p w14:paraId="497A6E45" w14:textId="77777777" w:rsidR="00F20455" w:rsidRPr="00715AF9" w:rsidRDefault="00F20455" w:rsidP="00F20455">
      <w:pPr>
        <w:shd w:val="clear" w:color="auto" w:fill="FFFFFF"/>
        <w:spacing w:before="525"/>
        <w:outlineLvl w:val="3"/>
        <w:rPr>
          <w:rFonts w:ascii="Arial" w:eastAsia="Times New Roman" w:hAnsi="Arial" w:cs="Arial"/>
          <w:b/>
          <w:bCs/>
          <w:color w:val="0B0C0C"/>
          <w:lang w:eastAsia="en-GB"/>
        </w:rPr>
      </w:pPr>
      <w:r w:rsidRPr="00715AF9">
        <w:rPr>
          <w:rFonts w:ascii="Arial" w:eastAsia="Times New Roman" w:hAnsi="Arial" w:cs="Arial"/>
          <w:b/>
          <w:bCs/>
          <w:color w:val="0B0C0C"/>
          <w:lang w:eastAsia="en-GB"/>
        </w:rPr>
        <w:t>Price, monthly change and annual change by country and government office region</w:t>
      </w:r>
    </w:p>
    <w:tbl>
      <w:tblPr>
        <w:tblW w:w="9356"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1559"/>
        <w:gridCol w:w="1843"/>
        <w:gridCol w:w="1559"/>
      </w:tblGrid>
      <w:tr w:rsidR="00AD1F13" w:rsidRPr="0002029D" w14:paraId="5BF28F31" w14:textId="77777777" w:rsidTr="00AD1F13">
        <w:trPr>
          <w:trHeight w:val="932"/>
          <w:tblHeader/>
        </w:trPr>
        <w:tc>
          <w:tcPr>
            <w:tcW w:w="4395" w:type="dxa"/>
            <w:tcBorders>
              <w:bottom w:val="single" w:sz="6" w:space="0" w:color="B1B4B6"/>
            </w:tcBorders>
            <w:shd w:val="clear" w:color="auto" w:fill="FFFFFF"/>
            <w:tcMar>
              <w:top w:w="150" w:type="dxa"/>
              <w:left w:w="0" w:type="dxa"/>
              <w:bottom w:w="150" w:type="dxa"/>
              <w:right w:w="300" w:type="dxa"/>
            </w:tcMar>
            <w:hideMark/>
          </w:tcPr>
          <w:p w14:paraId="78E52C39" w14:textId="77777777" w:rsidR="00F20455" w:rsidRPr="00AD1F13" w:rsidRDefault="00F20455" w:rsidP="00AD1F13">
            <w:pPr>
              <w:pStyle w:val="NoSpacing"/>
              <w:jc w:val="center"/>
              <w:rPr>
                <w:rFonts w:ascii="Arial" w:hAnsi="Arial" w:cs="Arial"/>
                <w:b/>
                <w:bCs/>
                <w:lang w:eastAsia="en-GB"/>
              </w:rPr>
            </w:pPr>
            <w:r w:rsidRPr="00AD1F13">
              <w:rPr>
                <w:rFonts w:ascii="Arial" w:hAnsi="Arial" w:cs="Arial"/>
                <w:b/>
                <w:bCs/>
                <w:lang w:eastAsia="en-GB"/>
              </w:rPr>
              <w:t>Country and government office region</w:t>
            </w:r>
          </w:p>
        </w:tc>
        <w:tc>
          <w:tcPr>
            <w:tcW w:w="1559" w:type="dxa"/>
            <w:tcBorders>
              <w:bottom w:val="single" w:sz="6" w:space="0" w:color="B1B4B6"/>
            </w:tcBorders>
            <w:shd w:val="clear" w:color="auto" w:fill="FFFFFF"/>
            <w:tcMar>
              <w:top w:w="150" w:type="dxa"/>
              <w:left w:w="0" w:type="dxa"/>
              <w:bottom w:w="150" w:type="dxa"/>
              <w:right w:w="300" w:type="dxa"/>
            </w:tcMar>
            <w:hideMark/>
          </w:tcPr>
          <w:p w14:paraId="0ADE7AC6" w14:textId="77777777" w:rsidR="00F20455" w:rsidRPr="00AD1F13" w:rsidRDefault="00F20455" w:rsidP="00AD1F13">
            <w:pPr>
              <w:pStyle w:val="NoSpacing"/>
              <w:jc w:val="center"/>
              <w:rPr>
                <w:rFonts w:ascii="Arial" w:hAnsi="Arial" w:cs="Arial"/>
                <w:b/>
                <w:bCs/>
                <w:lang w:eastAsia="en-GB"/>
              </w:rPr>
            </w:pPr>
            <w:r w:rsidRPr="00AD1F13">
              <w:rPr>
                <w:rFonts w:ascii="Arial" w:hAnsi="Arial" w:cs="Arial"/>
                <w:b/>
                <w:bCs/>
                <w:lang w:eastAsia="en-GB"/>
              </w:rPr>
              <w:t>Price</w:t>
            </w:r>
          </w:p>
        </w:tc>
        <w:tc>
          <w:tcPr>
            <w:tcW w:w="1843" w:type="dxa"/>
            <w:tcBorders>
              <w:bottom w:val="single" w:sz="6" w:space="0" w:color="B1B4B6"/>
            </w:tcBorders>
            <w:shd w:val="clear" w:color="auto" w:fill="FFFFFF"/>
            <w:tcMar>
              <w:top w:w="150" w:type="dxa"/>
              <w:left w:w="0" w:type="dxa"/>
              <w:bottom w:w="150" w:type="dxa"/>
              <w:right w:w="300" w:type="dxa"/>
            </w:tcMar>
            <w:hideMark/>
          </w:tcPr>
          <w:p w14:paraId="1418BF58" w14:textId="77777777" w:rsidR="00F20455" w:rsidRPr="00AD1F13" w:rsidRDefault="00F20455" w:rsidP="00AD1F13">
            <w:pPr>
              <w:pStyle w:val="NoSpacing"/>
              <w:jc w:val="center"/>
              <w:rPr>
                <w:rFonts w:ascii="Arial" w:hAnsi="Arial" w:cs="Arial"/>
                <w:b/>
                <w:bCs/>
                <w:lang w:eastAsia="en-GB"/>
              </w:rPr>
            </w:pPr>
            <w:r w:rsidRPr="00AD1F13">
              <w:rPr>
                <w:rFonts w:ascii="Arial" w:hAnsi="Arial" w:cs="Arial"/>
                <w:b/>
                <w:bCs/>
                <w:lang w:eastAsia="en-GB"/>
              </w:rPr>
              <w:t>Monthly change</w:t>
            </w:r>
          </w:p>
        </w:tc>
        <w:tc>
          <w:tcPr>
            <w:tcW w:w="1559" w:type="dxa"/>
            <w:tcBorders>
              <w:bottom w:val="single" w:sz="6" w:space="0" w:color="B1B4B6"/>
            </w:tcBorders>
            <w:shd w:val="clear" w:color="auto" w:fill="FFFFFF"/>
            <w:tcMar>
              <w:top w:w="150" w:type="dxa"/>
              <w:left w:w="0" w:type="dxa"/>
              <w:bottom w:w="150" w:type="dxa"/>
              <w:right w:w="0" w:type="dxa"/>
            </w:tcMar>
            <w:hideMark/>
          </w:tcPr>
          <w:p w14:paraId="14715C67" w14:textId="77777777" w:rsidR="00F20455" w:rsidRPr="00AD1F13" w:rsidRDefault="00F20455" w:rsidP="00AD1F13">
            <w:pPr>
              <w:pStyle w:val="NoSpacing"/>
              <w:jc w:val="center"/>
              <w:rPr>
                <w:rFonts w:ascii="Arial" w:hAnsi="Arial" w:cs="Arial"/>
                <w:b/>
                <w:bCs/>
                <w:lang w:eastAsia="en-GB"/>
              </w:rPr>
            </w:pPr>
            <w:r w:rsidRPr="00AD1F13">
              <w:rPr>
                <w:rFonts w:ascii="Arial" w:hAnsi="Arial" w:cs="Arial"/>
                <w:b/>
                <w:bCs/>
                <w:lang w:eastAsia="en-GB"/>
              </w:rPr>
              <w:t>Annual change</w:t>
            </w:r>
          </w:p>
        </w:tc>
      </w:tr>
      <w:tr w:rsidR="00F20455" w:rsidRPr="0002029D" w14:paraId="041976A3"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036C385A"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England</w:t>
            </w:r>
          </w:p>
        </w:tc>
        <w:tc>
          <w:tcPr>
            <w:tcW w:w="1559" w:type="dxa"/>
            <w:tcBorders>
              <w:bottom w:val="single" w:sz="6" w:space="0" w:color="B1B4B6"/>
            </w:tcBorders>
            <w:shd w:val="clear" w:color="auto" w:fill="FFFFFF"/>
            <w:tcMar>
              <w:top w:w="150" w:type="dxa"/>
              <w:left w:w="0" w:type="dxa"/>
              <w:bottom w:w="150" w:type="dxa"/>
              <w:right w:w="300" w:type="dxa"/>
            </w:tcMar>
            <w:hideMark/>
          </w:tcPr>
          <w:p w14:paraId="69BA773C"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£314,278</w:t>
            </w:r>
          </w:p>
        </w:tc>
        <w:tc>
          <w:tcPr>
            <w:tcW w:w="1843" w:type="dxa"/>
            <w:tcBorders>
              <w:bottom w:val="single" w:sz="6" w:space="0" w:color="B1B4B6"/>
            </w:tcBorders>
            <w:shd w:val="clear" w:color="auto" w:fill="FFFFFF"/>
            <w:tcMar>
              <w:top w:w="150" w:type="dxa"/>
              <w:left w:w="0" w:type="dxa"/>
              <w:bottom w:w="150" w:type="dxa"/>
              <w:right w:w="300" w:type="dxa"/>
            </w:tcMar>
            <w:hideMark/>
          </w:tcPr>
          <w:p w14:paraId="317D2EE3"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0.0%</w:t>
            </w:r>
          </w:p>
        </w:tc>
        <w:tc>
          <w:tcPr>
            <w:tcW w:w="1559" w:type="dxa"/>
            <w:tcBorders>
              <w:bottom w:val="single" w:sz="6" w:space="0" w:color="B1B4B6"/>
            </w:tcBorders>
            <w:shd w:val="clear" w:color="auto" w:fill="FFFFFF"/>
            <w:tcMar>
              <w:top w:w="150" w:type="dxa"/>
              <w:left w:w="0" w:type="dxa"/>
              <w:bottom w:w="150" w:type="dxa"/>
              <w:right w:w="0" w:type="dxa"/>
            </w:tcMar>
            <w:hideMark/>
          </w:tcPr>
          <w:p w14:paraId="2A7C7822"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9.6%</w:t>
            </w:r>
          </w:p>
        </w:tc>
      </w:tr>
      <w:tr w:rsidR="00F20455" w:rsidRPr="0002029D" w14:paraId="7888A9C9"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5FE90D3A"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Northern Ireland (Quarter 3 - 2022)</w:t>
            </w:r>
          </w:p>
        </w:tc>
        <w:tc>
          <w:tcPr>
            <w:tcW w:w="1559" w:type="dxa"/>
            <w:tcBorders>
              <w:bottom w:val="single" w:sz="6" w:space="0" w:color="B1B4B6"/>
            </w:tcBorders>
            <w:shd w:val="clear" w:color="auto" w:fill="FFFFFF"/>
            <w:tcMar>
              <w:top w:w="150" w:type="dxa"/>
              <w:left w:w="0" w:type="dxa"/>
              <w:bottom w:w="150" w:type="dxa"/>
              <w:right w:w="300" w:type="dxa"/>
            </w:tcMar>
            <w:hideMark/>
          </w:tcPr>
          <w:p w14:paraId="0AAD44E3"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£176,131</w:t>
            </w:r>
          </w:p>
        </w:tc>
        <w:tc>
          <w:tcPr>
            <w:tcW w:w="1843" w:type="dxa"/>
            <w:tcBorders>
              <w:bottom w:val="single" w:sz="6" w:space="0" w:color="B1B4B6"/>
            </w:tcBorders>
            <w:shd w:val="clear" w:color="auto" w:fill="FFFFFF"/>
            <w:tcMar>
              <w:top w:w="150" w:type="dxa"/>
              <w:left w:w="0" w:type="dxa"/>
              <w:bottom w:w="150" w:type="dxa"/>
              <w:right w:w="300" w:type="dxa"/>
            </w:tcMar>
            <w:hideMark/>
          </w:tcPr>
          <w:p w14:paraId="343871A3"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4.1%</w:t>
            </w:r>
          </w:p>
        </w:tc>
        <w:tc>
          <w:tcPr>
            <w:tcW w:w="1559" w:type="dxa"/>
            <w:tcBorders>
              <w:bottom w:val="single" w:sz="6" w:space="0" w:color="B1B4B6"/>
            </w:tcBorders>
            <w:shd w:val="clear" w:color="auto" w:fill="FFFFFF"/>
            <w:tcMar>
              <w:top w:w="150" w:type="dxa"/>
              <w:left w:w="0" w:type="dxa"/>
              <w:bottom w:w="150" w:type="dxa"/>
              <w:right w:w="0" w:type="dxa"/>
            </w:tcMar>
            <w:hideMark/>
          </w:tcPr>
          <w:p w14:paraId="746C4464"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10.7%</w:t>
            </w:r>
          </w:p>
        </w:tc>
      </w:tr>
      <w:tr w:rsidR="00F20455" w:rsidRPr="0002029D" w14:paraId="6FF4E4E6"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2DE66ECB"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Scotland</w:t>
            </w:r>
          </w:p>
        </w:tc>
        <w:tc>
          <w:tcPr>
            <w:tcW w:w="1559" w:type="dxa"/>
            <w:tcBorders>
              <w:bottom w:val="single" w:sz="6" w:space="0" w:color="B1B4B6"/>
            </w:tcBorders>
            <w:shd w:val="clear" w:color="auto" w:fill="FFFFFF"/>
            <w:tcMar>
              <w:top w:w="150" w:type="dxa"/>
              <w:left w:w="0" w:type="dxa"/>
              <w:bottom w:w="150" w:type="dxa"/>
              <w:right w:w="300" w:type="dxa"/>
            </w:tcMar>
            <w:hideMark/>
          </w:tcPr>
          <w:p w14:paraId="7C353570"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£191,941</w:t>
            </w:r>
          </w:p>
        </w:tc>
        <w:tc>
          <w:tcPr>
            <w:tcW w:w="1843" w:type="dxa"/>
            <w:tcBorders>
              <w:bottom w:val="single" w:sz="6" w:space="0" w:color="B1B4B6"/>
            </w:tcBorders>
            <w:shd w:val="clear" w:color="auto" w:fill="FFFFFF"/>
            <w:tcMar>
              <w:top w:w="150" w:type="dxa"/>
              <w:left w:w="0" w:type="dxa"/>
              <w:bottom w:w="150" w:type="dxa"/>
              <w:right w:w="300" w:type="dxa"/>
            </w:tcMar>
            <w:hideMark/>
          </w:tcPr>
          <w:p w14:paraId="205005C5"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-0.9%</w:t>
            </w:r>
          </w:p>
        </w:tc>
        <w:tc>
          <w:tcPr>
            <w:tcW w:w="1559" w:type="dxa"/>
            <w:tcBorders>
              <w:bottom w:val="single" w:sz="6" w:space="0" w:color="B1B4B6"/>
            </w:tcBorders>
            <w:shd w:val="clear" w:color="auto" w:fill="FFFFFF"/>
            <w:tcMar>
              <w:top w:w="150" w:type="dxa"/>
              <w:left w:w="0" w:type="dxa"/>
              <w:bottom w:w="150" w:type="dxa"/>
              <w:right w:w="0" w:type="dxa"/>
            </w:tcMar>
            <w:hideMark/>
          </w:tcPr>
          <w:p w14:paraId="38FA289D"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7.3%</w:t>
            </w:r>
          </w:p>
        </w:tc>
      </w:tr>
      <w:tr w:rsidR="00F20455" w:rsidRPr="0002029D" w14:paraId="0C7C828B"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20FE51E7"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Wales</w:t>
            </w:r>
          </w:p>
        </w:tc>
        <w:tc>
          <w:tcPr>
            <w:tcW w:w="1559" w:type="dxa"/>
            <w:tcBorders>
              <w:bottom w:val="single" w:sz="6" w:space="0" w:color="B1B4B6"/>
            </w:tcBorders>
            <w:shd w:val="clear" w:color="auto" w:fill="FFFFFF"/>
            <w:tcMar>
              <w:top w:w="150" w:type="dxa"/>
              <w:left w:w="0" w:type="dxa"/>
              <w:bottom w:w="150" w:type="dxa"/>
              <w:right w:w="300" w:type="dxa"/>
            </w:tcMar>
            <w:hideMark/>
          </w:tcPr>
          <w:p w14:paraId="5798D89E"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£223,798</w:t>
            </w:r>
          </w:p>
        </w:tc>
        <w:tc>
          <w:tcPr>
            <w:tcW w:w="1843" w:type="dxa"/>
            <w:tcBorders>
              <w:bottom w:val="single" w:sz="6" w:space="0" w:color="B1B4B6"/>
            </w:tcBorders>
            <w:shd w:val="clear" w:color="auto" w:fill="FFFFFF"/>
            <w:tcMar>
              <w:top w:w="150" w:type="dxa"/>
              <w:left w:w="0" w:type="dxa"/>
              <w:bottom w:w="150" w:type="dxa"/>
              <w:right w:w="300" w:type="dxa"/>
            </w:tcMar>
            <w:hideMark/>
          </w:tcPr>
          <w:p w14:paraId="1DBB0D1A"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2.0%</w:t>
            </w:r>
          </w:p>
        </w:tc>
        <w:tc>
          <w:tcPr>
            <w:tcW w:w="1559" w:type="dxa"/>
            <w:tcBorders>
              <w:bottom w:val="single" w:sz="6" w:space="0" w:color="B1B4B6"/>
            </w:tcBorders>
            <w:shd w:val="clear" w:color="auto" w:fill="FFFFFF"/>
            <w:tcMar>
              <w:top w:w="150" w:type="dxa"/>
              <w:left w:w="0" w:type="dxa"/>
              <w:bottom w:w="150" w:type="dxa"/>
              <w:right w:w="0" w:type="dxa"/>
            </w:tcMar>
            <w:hideMark/>
          </w:tcPr>
          <w:p w14:paraId="2BF260E9"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12.9%</w:t>
            </w:r>
          </w:p>
        </w:tc>
      </w:tr>
      <w:tr w:rsidR="00F20455" w:rsidRPr="0002029D" w14:paraId="20DEE730"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1FA8D54E"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East Midlands</w:t>
            </w:r>
          </w:p>
        </w:tc>
        <w:tc>
          <w:tcPr>
            <w:tcW w:w="1559" w:type="dxa"/>
            <w:tcBorders>
              <w:bottom w:val="single" w:sz="6" w:space="0" w:color="B1B4B6"/>
            </w:tcBorders>
            <w:shd w:val="clear" w:color="auto" w:fill="FFFFFF"/>
            <w:tcMar>
              <w:top w:w="150" w:type="dxa"/>
              <w:left w:w="0" w:type="dxa"/>
              <w:bottom w:w="150" w:type="dxa"/>
              <w:right w:w="300" w:type="dxa"/>
            </w:tcMar>
            <w:hideMark/>
          </w:tcPr>
          <w:p w14:paraId="2B0BDDC4"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£252,982</w:t>
            </w:r>
          </w:p>
        </w:tc>
        <w:tc>
          <w:tcPr>
            <w:tcW w:w="1843" w:type="dxa"/>
            <w:tcBorders>
              <w:bottom w:val="single" w:sz="6" w:space="0" w:color="B1B4B6"/>
            </w:tcBorders>
            <w:shd w:val="clear" w:color="auto" w:fill="FFFFFF"/>
            <w:tcMar>
              <w:top w:w="150" w:type="dxa"/>
              <w:left w:w="0" w:type="dxa"/>
              <w:bottom w:w="150" w:type="dxa"/>
              <w:right w:w="300" w:type="dxa"/>
            </w:tcMar>
            <w:hideMark/>
          </w:tcPr>
          <w:p w14:paraId="0147662C"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0.0%</w:t>
            </w:r>
          </w:p>
        </w:tc>
        <w:tc>
          <w:tcPr>
            <w:tcW w:w="1559" w:type="dxa"/>
            <w:tcBorders>
              <w:bottom w:val="single" w:sz="6" w:space="0" w:color="B1B4B6"/>
            </w:tcBorders>
            <w:shd w:val="clear" w:color="auto" w:fill="FFFFFF"/>
            <w:tcMar>
              <w:top w:w="150" w:type="dxa"/>
              <w:left w:w="0" w:type="dxa"/>
              <w:bottom w:w="150" w:type="dxa"/>
              <w:right w:w="0" w:type="dxa"/>
            </w:tcMar>
            <w:hideMark/>
          </w:tcPr>
          <w:p w14:paraId="2B2761C7"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11.3%</w:t>
            </w:r>
          </w:p>
        </w:tc>
      </w:tr>
      <w:tr w:rsidR="00F20455" w:rsidRPr="0002029D" w14:paraId="3519190E"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2257DDE4"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East of England</w:t>
            </w:r>
          </w:p>
        </w:tc>
        <w:tc>
          <w:tcPr>
            <w:tcW w:w="1559" w:type="dxa"/>
            <w:tcBorders>
              <w:bottom w:val="single" w:sz="6" w:space="0" w:color="B1B4B6"/>
            </w:tcBorders>
            <w:shd w:val="clear" w:color="auto" w:fill="FFFFFF"/>
            <w:tcMar>
              <w:top w:w="150" w:type="dxa"/>
              <w:left w:w="0" w:type="dxa"/>
              <w:bottom w:w="150" w:type="dxa"/>
              <w:right w:w="300" w:type="dxa"/>
            </w:tcMar>
            <w:hideMark/>
          </w:tcPr>
          <w:p w14:paraId="1FE82D90"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£362,197</w:t>
            </w:r>
          </w:p>
        </w:tc>
        <w:tc>
          <w:tcPr>
            <w:tcW w:w="1843" w:type="dxa"/>
            <w:tcBorders>
              <w:bottom w:val="single" w:sz="6" w:space="0" w:color="B1B4B6"/>
            </w:tcBorders>
            <w:shd w:val="clear" w:color="auto" w:fill="FFFFFF"/>
            <w:tcMar>
              <w:top w:w="150" w:type="dxa"/>
              <w:left w:w="0" w:type="dxa"/>
              <w:bottom w:w="150" w:type="dxa"/>
              <w:right w:w="300" w:type="dxa"/>
            </w:tcMar>
            <w:hideMark/>
          </w:tcPr>
          <w:p w14:paraId="2928B236"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0.1%</w:t>
            </w:r>
          </w:p>
        </w:tc>
        <w:tc>
          <w:tcPr>
            <w:tcW w:w="1559" w:type="dxa"/>
            <w:tcBorders>
              <w:bottom w:val="single" w:sz="6" w:space="0" w:color="B1B4B6"/>
            </w:tcBorders>
            <w:shd w:val="clear" w:color="auto" w:fill="FFFFFF"/>
            <w:tcMar>
              <w:top w:w="150" w:type="dxa"/>
              <w:left w:w="0" w:type="dxa"/>
              <w:bottom w:w="150" w:type="dxa"/>
              <w:right w:w="0" w:type="dxa"/>
            </w:tcMar>
            <w:hideMark/>
          </w:tcPr>
          <w:p w14:paraId="194988FD"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10.4%</w:t>
            </w:r>
          </w:p>
        </w:tc>
      </w:tr>
      <w:tr w:rsidR="00F20455" w:rsidRPr="0002029D" w14:paraId="6EA04098"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1EE306B1"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London</w:t>
            </w:r>
          </w:p>
        </w:tc>
        <w:tc>
          <w:tcPr>
            <w:tcW w:w="1559" w:type="dxa"/>
            <w:tcBorders>
              <w:bottom w:val="single" w:sz="6" w:space="0" w:color="B1B4B6"/>
            </w:tcBorders>
            <w:shd w:val="clear" w:color="auto" w:fill="FFFFFF"/>
            <w:tcMar>
              <w:top w:w="150" w:type="dxa"/>
              <w:left w:w="0" w:type="dxa"/>
              <w:bottom w:w="150" w:type="dxa"/>
              <w:right w:w="300" w:type="dxa"/>
            </w:tcMar>
            <w:hideMark/>
          </w:tcPr>
          <w:p w14:paraId="068472E8"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£544,113</w:t>
            </w:r>
          </w:p>
        </w:tc>
        <w:tc>
          <w:tcPr>
            <w:tcW w:w="1843" w:type="dxa"/>
            <w:tcBorders>
              <w:bottom w:val="single" w:sz="6" w:space="0" w:color="B1B4B6"/>
            </w:tcBorders>
            <w:shd w:val="clear" w:color="auto" w:fill="FFFFFF"/>
            <w:tcMar>
              <w:top w:w="150" w:type="dxa"/>
              <w:left w:w="0" w:type="dxa"/>
              <w:bottom w:w="150" w:type="dxa"/>
              <w:right w:w="300" w:type="dxa"/>
            </w:tcMar>
            <w:hideMark/>
          </w:tcPr>
          <w:p w14:paraId="2238EBC3"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-0.6%</w:t>
            </w:r>
          </w:p>
        </w:tc>
        <w:tc>
          <w:tcPr>
            <w:tcW w:w="1559" w:type="dxa"/>
            <w:tcBorders>
              <w:bottom w:val="single" w:sz="6" w:space="0" w:color="B1B4B6"/>
            </w:tcBorders>
            <w:shd w:val="clear" w:color="auto" w:fill="FFFFFF"/>
            <w:tcMar>
              <w:top w:w="150" w:type="dxa"/>
              <w:left w:w="0" w:type="dxa"/>
              <w:bottom w:w="150" w:type="dxa"/>
              <w:right w:w="0" w:type="dxa"/>
            </w:tcMar>
            <w:hideMark/>
          </w:tcPr>
          <w:p w14:paraId="7CB95FE1"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6.9%</w:t>
            </w:r>
          </w:p>
        </w:tc>
      </w:tr>
      <w:tr w:rsidR="00F20455" w:rsidRPr="0002029D" w14:paraId="1B2FD0E3"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14DB0793"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North East</w:t>
            </w:r>
          </w:p>
        </w:tc>
        <w:tc>
          <w:tcPr>
            <w:tcW w:w="1559" w:type="dxa"/>
            <w:tcBorders>
              <w:bottom w:val="single" w:sz="6" w:space="0" w:color="B1B4B6"/>
            </w:tcBorders>
            <w:shd w:val="clear" w:color="auto" w:fill="FFFFFF"/>
            <w:tcMar>
              <w:top w:w="150" w:type="dxa"/>
              <w:left w:w="0" w:type="dxa"/>
              <w:bottom w:w="150" w:type="dxa"/>
              <w:right w:w="300" w:type="dxa"/>
            </w:tcMar>
            <w:hideMark/>
          </w:tcPr>
          <w:p w14:paraId="31BE4BB9"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£163,768</w:t>
            </w:r>
          </w:p>
        </w:tc>
        <w:tc>
          <w:tcPr>
            <w:tcW w:w="1843" w:type="dxa"/>
            <w:tcBorders>
              <w:bottom w:val="single" w:sz="6" w:space="0" w:color="B1B4B6"/>
            </w:tcBorders>
            <w:shd w:val="clear" w:color="auto" w:fill="FFFFFF"/>
            <w:tcMar>
              <w:top w:w="150" w:type="dxa"/>
              <w:left w:w="0" w:type="dxa"/>
              <w:bottom w:w="150" w:type="dxa"/>
              <w:right w:w="300" w:type="dxa"/>
            </w:tcMar>
            <w:hideMark/>
          </w:tcPr>
          <w:p w14:paraId="6C6BD052"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0.3%</w:t>
            </w:r>
          </w:p>
        </w:tc>
        <w:tc>
          <w:tcPr>
            <w:tcW w:w="1559" w:type="dxa"/>
            <w:tcBorders>
              <w:bottom w:val="single" w:sz="6" w:space="0" w:color="B1B4B6"/>
            </w:tcBorders>
            <w:shd w:val="clear" w:color="auto" w:fill="FFFFFF"/>
            <w:tcMar>
              <w:top w:w="150" w:type="dxa"/>
              <w:left w:w="0" w:type="dxa"/>
              <w:bottom w:w="150" w:type="dxa"/>
              <w:right w:w="0" w:type="dxa"/>
            </w:tcMar>
            <w:hideMark/>
          </w:tcPr>
          <w:p w14:paraId="7F23CB01"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5.8%</w:t>
            </w:r>
          </w:p>
        </w:tc>
      </w:tr>
      <w:tr w:rsidR="00F20455" w:rsidRPr="0002029D" w14:paraId="0738AD70"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146D611F"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North West</w:t>
            </w:r>
          </w:p>
        </w:tc>
        <w:tc>
          <w:tcPr>
            <w:tcW w:w="1559" w:type="dxa"/>
            <w:tcBorders>
              <w:bottom w:val="single" w:sz="6" w:space="0" w:color="B1B4B6"/>
            </w:tcBorders>
            <w:shd w:val="clear" w:color="auto" w:fill="FFFFFF"/>
            <w:tcMar>
              <w:top w:w="150" w:type="dxa"/>
              <w:left w:w="0" w:type="dxa"/>
              <w:bottom w:w="150" w:type="dxa"/>
              <w:right w:w="300" w:type="dxa"/>
            </w:tcMar>
            <w:hideMark/>
          </w:tcPr>
          <w:p w14:paraId="43338EC5"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£219,005</w:t>
            </w:r>
          </w:p>
        </w:tc>
        <w:tc>
          <w:tcPr>
            <w:tcW w:w="1843" w:type="dxa"/>
            <w:tcBorders>
              <w:bottom w:val="single" w:sz="6" w:space="0" w:color="B1B4B6"/>
            </w:tcBorders>
            <w:shd w:val="clear" w:color="auto" w:fill="FFFFFF"/>
            <w:tcMar>
              <w:top w:w="150" w:type="dxa"/>
              <w:left w:w="0" w:type="dxa"/>
              <w:bottom w:w="150" w:type="dxa"/>
              <w:right w:w="300" w:type="dxa"/>
            </w:tcMar>
            <w:hideMark/>
          </w:tcPr>
          <w:p w14:paraId="2BF8F15C"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0.6%</w:t>
            </w:r>
          </w:p>
        </w:tc>
        <w:tc>
          <w:tcPr>
            <w:tcW w:w="1559" w:type="dxa"/>
            <w:tcBorders>
              <w:bottom w:val="single" w:sz="6" w:space="0" w:color="B1B4B6"/>
            </w:tcBorders>
            <w:shd w:val="clear" w:color="auto" w:fill="FFFFFF"/>
            <w:tcMar>
              <w:top w:w="150" w:type="dxa"/>
              <w:left w:w="0" w:type="dxa"/>
              <w:bottom w:w="150" w:type="dxa"/>
              <w:right w:w="0" w:type="dxa"/>
            </w:tcMar>
            <w:hideMark/>
          </w:tcPr>
          <w:p w14:paraId="08502F71"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9.1%</w:t>
            </w:r>
          </w:p>
        </w:tc>
      </w:tr>
      <w:tr w:rsidR="00F20455" w:rsidRPr="0002029D" w14:paraId="4FC8ED17"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24625BAF"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South East</w:t>
            </w:r>
          </w:p>
        </w:tc>
        <w:tc>
          <w:tcPr>
            <w:tcW w:w="1559" w:type="dxa"/>
            <w:tcBorders>
              <w:bottom w:val="single" w:sz="6" w:space="0" w:color="B1B4B6"/>
            </w:tcBorders>
            <w:shd w:val="clear" w:color="auto" w:fill="FFFFFF"/>
            <w:tcMar>
              <w:top w:w="150" w:type="dxa"/>
              <w:left w:w="0" w:type="dxa"/>
              <w:bottom w:w="150" w:type="dxa"/>
              <w:right w:w="300" w:type="dxa"/>
            </w:tcMar>
            <w:hideMark/>
          </w:tcPr>
          <w:p w14:paraId="6C6412AD"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£403,515</w:t>
            </w:r>
          </w:p>
        </w:tc>
        <w:tc>
          <w:tcPr>
            <w:tcW w:w="1843" w:type="dxa"/>
            <w:tcBorders>
              <w:bottom w:val="single" w:sz="6" w:space="0" w:color="B1B4B6"/>
            </w:tcBorders>
            <w:shd w:val="clear" w:color="auto" w:fill="FFFFFF"/>
            <w:tcMar>
              <w:top w:w="150" w:type="dxa"/>
              <w:left w:w="0" w:type="dxa"/>
              <w:bottom w:w="150" w:type="dxa"/>
              <w:right w:w="300" w:type="dxa"/>
            </w:tcMar>
            <w:hideMark/>
          </w:tcPr>
          <w:p w14:paraId="562D6956"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-0.2%</w:t>
            </w:r>
          </w:p>
        </w:tc>
        <w:tc>
          <w:tcPr>
            <w:tcW w:w="1559" w:type="dxa"/>
            <w:tcBorders>
              <w:bottom w:val="single" w:sz="6" w:space="0" w:color="B1B4B6"/>
            </w:tcBorders>
            <w:shd w:val="clear" w:color="auto" w:fill="FFFFFF"/>
            <w:tcMar>
              <w:top w:w="150" w:type="dxa"/>
              <w:left w:w="0" w:type="dxa"/>
              <w:bottom w:w="150" w:type="dxa"/>
              <w:right w:w="0" w:type="dxa"/>
            </w:tcMar>
            <w:hideMark/>
          </w:tcPr>
          <w:p w14:paraId="272EF710"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10.3%</w:t>
            </w:r>
          </w:p>
        </w:tc>
      </w:tr>
      <w:tr w:rsidR="00F20455" w:rsidRPr="0002029D" w14:paraId="66B357B1"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6A3C61BF"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South West</w:t>
            </w:r>
          </w:p>
        </w:tc>
        <w:tc>
          <w:tcPr>
            <w:tcW w:w="1559" w:type="dxa"/>
            <w:tcBorders>
              <w:bottom w:val="single" w:sz="6" w:space="0" w:color="B1B4B6"/>
            </w:tcBorders>
            <w:shd w:val="clear" w:color="auto" w:fill="FFFFFF"/>
            <w:tcMar>
              <w:top w:w="150" w:type="dxa"/>
              <w:left w:w="0" w:type="dxa"/>
              <w:bottom w:w="150" w:type="dxa"/>
              <w:right w:w="300" w:type="dxa"/>
            </w:tcMar>
            <w:hideMark/>
          </w:tcPr>
          <w:p w14:paraId="297EC6C9"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£336,583</w:t>
            </w:r>
          </w:p>
        </w:tc>
        <w:tc>
          <w:tcPr>
            <w:tcW w:w="1843" w:type="dxa"/>
            <w:tcBorders>
              <w:bottom w:val="single" w:sz="6" w:space="0" w:color="B1B4B6"/>
            </w:tcBorders>
            <w:shd w:val="clear" w:color="auto" w:fill="FFFFFF"/>
            <w:tcMar>
              <w:top w:w="150" w:type="dxa"/>
              <w:left w:w="0" w:type="dxa"/>
              <w:bottom w:w="150" w:type="dxa"/>
              <w:right w:w="300" w:type="dxa"/>
            </w:tcMar>
            <w:hideMark/>
          </w:tcPr>
          <w:p w14:paraId="7F9CE428"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0.3%</w:t>
            </w:r>
          </w:p>
        </w:tc>
        <w:tc>
          <w:tcPr>
            <w:tcW w:w="1559" w:type="dxa"/>
            <w:tcBorders>
              <w:bottom w:val="single" w:sz="6" w:space="0" w:color="B1B4B6"/>
            </w:tcBorders>
            <w:shd w:val="clear" w:color="auto" w:fill="FFFFFF"/>
            <w:tcMar>
              <w:top w:w="150" w:type="dxa"/>
              <w:left w:w="0" w:type="dxa"/>
              <w:bottom w:w="150" w:type="dxa"/>
              <w:right w:w="0" w:type="dxa"/>
            </w:tcMar>
            <w:hideMark/>
          </w:tcPr>
          <w:p w14:paraId="40E9DC40"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11.9%</w:t>
            </w:r>
          </w:p>
        </w:tc>
      </w:tr>
      <w:tr w:rsidR="00F20455" w:rsidRPr="0002029D" w14:paraId="69A53608"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09381658"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West Midlands Region</w:t>
            </w:r>
          </w:p>
        </w:tc>
        <w:tc>
          <w:tcPr>
            <w:tcW w:w="1559" w:type="dxa"/>
            <w:tcBorders>
              <w:bottom w:val="single" w:sz="6" w:space="0" w:color="B1B4B6"/>
            </w:tcBorders>
            <w:shd w:val="clear" w:color="auto" w:fill="FFFFFF"/>
            <w:tcMar>
              <w:top w:w="150" w:type="dxa"/>
              <w:left w:w="0" w:type="dxa"/>
              <w:bottom w:w="150" w:type="dxa"/>
              <w:right w:w="300" w:type="dxa"/>
            </w:tcMar>
            <w:hideMark/>
          </w:tcPr>
          <w:p w14:paraId="47BDD6CE"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£253,864</w:t>
            </w:r>
          </w:p>
        </w:tc>
        <w:tc>
          <w:tcPr>
            <w:tcW w:w="1843" w:type="dxa"/>
            <w:tcBorders>
              <w:bottom w:val="single" w:sz="6" w:space="0" w:color="B1B4B6"/>
            </w:tcBorders>
            <w:shd w:val="clear" w:color="auto" w:fill="FFFFFF"/>
            <w:tcMar>
              <w:top w:w="150" w:type="dxa"/>
              <w:left w:w="0" w:type="dxa"/>
              <w:bottom w:w="150" w:type="dxa"/>
              <w:right w:w="300" w:type="dxa"/>
            </w:tcMar>
            <w:hideMark/>
          </w:tcPr>
          <w:p w14:paraId="58E67673"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-0.3%</w:t>
            </w:r>
          </w:p>
        </w:tc>
        <w:tc>
          <w:tcPr>
            <w:tcW w:w="1559" w:type="dxa"/>
            <w:tcBorders>
              <w:bottom w:val="single" w:sz="6" w:space="0" w:color="B1B4B6"/>
            </w:tcBorders>
            <w:shd w:val="clear" w:color="auto" w:fill="FFFFFF"/>
            <w:tcMar>
              <w:top w:w="150" w:type="dxa"/>
              <w:left w:w="0" w:type="dxa"/>
              <w:bottom w:w="150" w:type="dxa"/>
              <w:right w:w="0" w:type="dxa"/>
            </w:tcMar>
            <w:hideMark/>
          </w:tcPr>
          <w:p w14:paraId="1C5AFCE9"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10.1%</w:t>
            </w:r>
          </w:p>
        </w:tc>
      </w:tr>
      <w:tr w:rsidR="00F20455" w:rsidRPr="0002029D" w14:paraId="713ABE1F" w14:textId="77777777" w:rsidTr="00AD1F13">
        <w:tc>
          <w:tcPr>
            <w:tcW w:w="4395" w:type="dxa"/>
            <w:tcBorders>
              <w:bottom w:val="single" w:sz="6" w:space="0" w:color="B1B4B6"/>
            </w:tcBorders>
            <w:shd w:val="clear" w:color="auto" w:fill="FFFFFF"/>
            <w:tcMar>
              <w:top w:w="150" w:type="dxa"/>
              <w:left w:w="0" w:type="dxa"/>
              <w:bottom w:w="150" w:type="dxa"/>
              <w:right w:w="300" w:type="dxa"/>
            </w:tcMar>
            <w:hideMark/>
          </w:tcPr>
          <w:p w14:paraId="0216C460" w14:textId="77777777" w:rsidR="00F20455" w:rsidRPr="0002029D" w:rsidRDefault="00F20455" w:rsidP="00AD1F13">
            <w:pPr>
              <w:spacing w:before="450" w:after="450"/>
              <w:jc w:val="center"/>
              <w:rPr>
                <w:rFonts w:ascii="Arial" w:eastAsia="Times New Roman" w:hAnsi="Arial" w:cs="Arial"/>
                <w:b/>
                <w:bCs/>
                <w:color w:val="0B0C0C"/>
                <w:lang w:eastAsia="en-GB"/>
              </w:rPr>
            </w:pPr>
            <w:r w:rsidRPr="0002029D">
              <w:rPr>
                <w:rFonts w:ascii="Arial" w:eastAsia="Times New Roman" w:hAnsi="Arial" w:cs="Arial"/>
                <w:b/>
                <w:bCs/>
                <w:color w:val="0B0C0C"/>
                <w:lang w:eastAsia="en-GB"/>
              </w:rPr>
              <w:t>Yorkshire and The Humber</w:t>
            </w:r>
          </w:p>
        </w:tc>
        <w:tc>
          <w:tcPr>
            <w:tcW w:w="1559" w:type="dxa"/>
            <w:tcBorders>
              <w:bottom w:val="single" w:sz="6" w:space="0" w:color="B1B4B6"/>
            </w:tcBorders>
            <w:shd w:val="clear" w:color="auto" w:fill="FFFFFF"/>
            <w:tcMar>
              <w:top w:w="150" w:type="dxa"/>
              <w:left w:w="0" w:type="dxa"/>
              <w:bottom w:w="150" w:type="dxa"/>
              <w:right w:w="300" w:type="dxa"/>
            </w:tcMar>
            <w:hideMark/>
          </w:tcPr>
          <w:p w14:paraId="3E7846D4"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£212,593</w:t>
            </w:r>
          </w:p>
        </w:tc>
        <w:tc>
          <w:tcPr>
            <w:tcW w:w="1843" w:type="dxa"/>
            <w:tcBorders>
              <w:bottom w:val="single" w:sz="6" w:space="0" w:color="B1B4B6"/>
            </w:tcBorders>
            <w:shd w:val="clear" w:color="auto" w:fill="FFFFFF"/>
            <w:tcMar>
              <w:top w:w="150" w:type="dxa"/>
              <w:left w:w="0" w:type="dxa"/>
              <w:bottom w:w="150" w:type="dxa"/>
              <w:right w:w="300" w:type="dxa"/>
            </w:tcMar>
            <w:hideMark/>
          </w:tcPr>
          <w:p w14:paraId="27421673"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0.0%</w:t>
            </w:r>
          </w:p>
        </w:tc>
        <w:tc>
          <w:tcPr>
            <w:tcW w:w="1559" w:type="dxa"/>
            <w:tcBorders>
              <w:bottom w:val="single" w:sz="6" w:space="0" w:color="B1B4B6"/>
            </w:tcBorders>
            <w:shd w:val="clear" w:color="auto" w:fill="FFFFFF"/>
            <w:tcMar>
              <w:top w:w="150" w:type="dxa"/>
              <w:left w:w="0" w:type="dxa"/>
              <w:bottom w:w="150" w:type="dxa"/>
              <w:right w:w="0" w:type="dxa"/>
            </w:tcMar>
            <w:hideMark/>
          </w:tcPr>
          <w:p w14:paraId="2D6405AE" w14:textId="77777777" w:rsidR="00F20455" w:rsidRPr="0002029D" w:rsidRDefault="00F20455" w:rsidP="00AD1F13">
            <w:pPr>
              <w:spacing w:before="450" w:after="450"/>
              <w:jc w:val="center"/>
              <w:rPr>
                <w:rFonts w:ascii="Arial" w:eastAsia="Times New Roman" w:hAnsi="Arial" w:cs="Arial"/>
                <w:color w:val="0B0C0C"/>
                <w:lang w:eastAsia="en-GB"/>
              </w:rPr>
            </w:pPr>
            <w:r w:rsidRPr="0002029D">
              <w:rPr>
                <w:rFonts w:ascii="Arial" w:eastAsia="Times New Roman" w:hAnsi="Arial" w:cs="Arial"/>
                <w:color w:val="0B0C0C"/>
                <w:lang w:eastAsia="en-GB"/>
              </w:rPr>
              <w:t>8.5%</w:t>
            </w:r>
          </w:p>
        </w:tc>
      </w:tr>
    </w:tbl>
    <w:p w14:paraId="34D34A01" w14:textId="0A7D0C84" w:rsidR="00F20455" w:rsidRDefault="00F20455" w:rsidP="00F20455">
      <w:pPr>
        <w:pStyle w:val="Bodycopy"/>
        <w:rPr>
          <w:rFonts w:ascii="Arial" w:hAnsi="Arial" w:cs="Arial"/>
          <w:sz w:val="24"/>
          <w:szCs w:val="24"/>
        </w:rPr>
      </w:pPr>
      <w:r>
        <w:rPr>
          <w:rFonts w:ascii="Arial" w:hAnsi="Arial" w:cs="Arial"/>
          <w:sz w:val="24"/>
          <w:szCs w:val="24"/>
        </w:rPr>
        <w:t>In other words South East house average house prices are 28.4% higher than the England average, 19.9% higher than the South West of England average and 11.4% higher than the East of England average.</w:t>
      </w:r>
    </w:p>
    <w:p w14:paraId="28CAD371" w14:textId="77777777" w:rsidR="00F20455" w:rsidRDefault="00F20455" w:rsidP="00F20455">
      <w:pPr>
        <w:pStyle w:val="Bodycopy"/>
        <w:rPr>
          <w:rFonts w:ascii="Arial" w:hAnsi="Arial" w:cs="Arial"/>
          <w:sz w:val="24"/>
          <w:szCs w:val="24"/>
        </w:rPr>
      </w:pPr>
    </w:p>
    <w:p w14:paraId="081E700B" w14:textId="77777777" w:rsidR="00F20455" w:rsidRDefault="00F20455" w:rsidP="00F20455">
      <w:pPr>
        <w:pStyle w:val="Bodycopy"/>
        <w:rPr>
          <w:rFonts w:ascii="Arial" w:hAnsi="Arial" w:cs="Arial"/>
          <w:sz w:val="24"/>
          <w:szCs w:val="24"/>
        </w:rPr>
      </w:pPr>
      <w:r>
        <w:rPr>
          <w:rFonts w:ascii="Arial" w:hAnsi="Arial" w:cs="Arial"/>
          <w:sz w:val="24"/>
          <w:szCs w:val="24"/>
        </w:rPr>
        <w:t>A heat map using the UK House Price Index data illustrates the point:</w:t>
      </w:r>
    </w:p>
    <w:p w14:paraId="12BD0F3F" w14:textId="77777777" w:rsidR="00F20455" w:rsidRDefault="00F20455" w:rsidP="00F20455">
      <w:pPr>
        <w:pStyle w:val="Bodycopy"/>
        <w:rPr>
          <w:rFonts w:ascii="Arial" w:hAnsi="Arial" w:cs="Arial"/>
          <w:sz w:val="24"/>
          <w:szCs w:val="24"/>
        </w:rPr>
      </w:pPr>
    </w:p>
    <w:p w14:paraId="79FE8EAB" w14:textId="77777777" w:rsidR="00F20455" w:rsidRPr="00F95A0F" w:rsidRDefault="00F20455" w:rsidP="00F20455">
      <w:pPr>
        <w:pStyle w:val="Bodycopy"/>
        <w:rPr>
          <w:rFonts w:ascii="Arial" w:hAnsi="Arial" w:cs="Arial"/>
          <w:sz w:val="24"/>
          <w:szCs w:val="24"/>
        </w:rPr>
      </w:pPr>
      <w:r>
        <w:rPr>
          <w:noProof/>
        </w:rPr>
        <w:drawing>
          <wp:inline distT="0" distB="0" distL="0" distR="0" wp14:anchorId="35B42B76" wp14:editId="5BF412BA">
            <wp:extent cx="5396230" cy="3597275"/>
            <wp:effectExtent l="0" t="0" r="0" b="3175"/>
            <wp:docPr id="1"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3597275"/>
                    </a:xfrm>
                    <a:prstGeom prst="rect">
                      <a:avLst/>
                    </a:prstGeom>
                    <a:noFill/>
                    <a:ln>
                      <a:noFill/>
                    </a:ln>
                  </pic:spPr>
                </pic:pic>
              </a:graphicData>
            </a:graphic>
          </wp:inline>
        </w:drawing>
      </w:r>
    </w:p>
    <w:p w14:paraId="169F84BB" w14:textId="77777777" w:rsidR="002307C2" w:rsidRDefault="002307C2" w:rsidP="0018030C">
      <w:pPr>
        <w:pStyle w:val="Bodycopy"/>
        <w:rPr>
          <w:rFonts w:ascii="Arial" w:hAnsi="Arial" w:cs="Arial"/>
          <w:sz w:val="24"/>
          <w:szCs w:val="24"/>
        </w:rPr>
      </w:pPr>
    </w:p>
    <w:p w14:paraId="61224A3B" w14:textId="77777777" w:rsidR="0018030C" w:rsidRDefault="0018030C" w:rsidP="0018030C">
      <w:pPr>
        <w:pStyle w:val="Bodycopy"/>
        <w:rPr>
          <w:rFonts w:ascii="Arial" w:hAnsi="Arial" w:cs="Arial"/>
          <w:sz w:val="24"/>
          <w:szCs w:val="24"/>
        </w:rPr>
      </w:pPr>
    </w:p>
    <w:p w14:paraId="0EA72245" w14:textId="1ED082A4" w:rsidR="009E7846" w:rsidRDefault="009E7846" w:rsidP="0018030C">
      <w:pPr>
        <w:pStyle w:val="Bodycopy"/>
        <w:rPr>
          <w:rFonts w:ascii="Arial" w:hAnsi="Arial" w:cs="Arial"/>
          <w:sz w:val="24"/>
          <w:szCs w:val="24"/>
        </w:rPr>
      </w:pPr>
    </w:p>
    <w:sectPr w:rsidR="009E7846" w:rsidSect="008632D8">
      <w:footerReference w:type="default" r:id="rId13"/>
      <w:headerReference w:type="firs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730E" w14:textId="77777777" w:rsidR="00CD0FC2" w:rsidRDefault="00CD0FC2" w:rsidP="00943FD5">
      <w:pPr>
        <w:spacing w:after="0" w:line="240" w:lineRule="auto"/>
      </w:pPr>
      <w:r>
        <w:separator/>
      </w:r>
    </w:p>
  </w:endnote>
  <w:endnote w:type="continuationSeparator" w:id="0">
    <w:p w14:paraId="0219B052" w14:textId="77777777" w:rsidR="00CD0FC2" w:rsidRDefault="00CD0FC2" w:rsidP="0094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777729"/>
      <w:docPartObj>
        <w:docPartGallery w:val="Page Numbers (Bottom of Page)"/>
        <w:docPartUnique/>
      </w:docPartObj>
    </w:sdtPr>
    <w:sdtEndPr>
      <w:rPr>
        <w:sz w:val="22"/>
        <w:szCs w:val="22"/>
      </w:rPr>
    </w:sdtEndPr>
    <w:sdtContent>
      <w:p w14:paraId="7EB17F19" w14:textId="1C9C88CF" w:rsidR="003D1E20" w:rsidRDefault="003D1E20" w:rsidP="00281163">
        <w:pPr>
          <w:pStyle w:val="Footer"/>
          <w:ind w:left="1967" w:firstLine="3793"/>
        </w:pPr>
        <w:r w:rsidRPr="00943FD5">
          <w:rPr>
            <w:sz w:val="18"/>
            <w:szCs w:val="18"/>
          </w:rPr>
          <w:t xml:space="preserve">                  </w:t>
        </w:r>
        <w:r w:rsidR="00D150C0">
          <w:rPr>
            <w:sz w:val="18"/>
            <w:szCs w:val="18"/>
          </w:rPr>
          <w:t xml:space="preserve">                        </w:t>
        </w:r>
        <w:r w:rsidRPr="00943FD5">
          <w:rPr>
            <w:sz w:val="18"/>
            <w:szCs w:val="18"/>
          </w:rPr>
          <w:t xml:space="preserve">                        </w:t>
        </w:r>
        <w:r w:rsidR="003E3DB7" w:rsidRPr="00943FD5">
          <w:rPr>
            <w:sz w:val="18"/>
            <w:szCs w:val="18"/>
          </w:rPr>
          <w:fldChar w:fldCharType="begin"/>
        </w:r>
        <w:r w:rsidRPr="00943FD5">
          <w:rPr>
            <w:sz w:val="18"/>
            <w:szCs w:val="18"/>
          </w:rPr>
          <w:instrText xml:space="preserve"> PAGE   \* MERGEFORMAT </w:instrText>
        </w:r>
        <w:r w:rsidR="003E3DB7" w:rsidRPr="00943FD5">
          <w:rPr>
            <w:sz w:val="18"/>
            <w:szCs w:val="18"/>
          </w:rPr>
          <w:fldChar w:fldCharType="separate"/>
        </w:r>
        <w:r w:rsidR="00752D76">
          <w:rPr>
            <w:noProof/>
            <w:sz w:val="18"/>
            <w:szCs w:val="18"/>
          </w:rPr>
          <w:t>1</w:t>
        </w:r>
        <w:r w:rsidR="003E3DB7" w:rsidRPr="00943FD5">
          <w:rPr>
            <w:sz w:val="18"/>
            <w:szCs w:val="18"/>
          </w:rPr>
          <w:fldChar w:fldCharType="end"/>
        </w:r>
      </w:p>
    </w:sdtContent>
  </w:sdt>
  <w:p w14:paraId="7EB17F1A" w14:textId="77777777" w:rsidR="003D1E20" w:rsidRDefault="003D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6ECC" w14:textId="77777777" w:rsidR="00CD0FC2" w:rsidRDefault="00CD0FC2" w:rsidP="00943FD5">
      <w:pPr>
        <w:spacing w:after="0" w:line="240" w:lineRule="auto"/>
      </w:pPr>
      <w:r>
        <w:separator/>
      </w:r>
    </w:p>
  </w:footnote>
  <w:footnote w:type="continuationSeparator" w:id="0">
    <w:p w14:paraId="55EDA9A2" w14:textId="77777777" w:rsidR="00CD0FC2" w:rsidRDefault="00CD0FC2" w:rsidP="00943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8EF8" w14:textId="25039071" w:rsidR="008632D8" w:rsidRDefault="008632D8">
    <w:pPr>
      <w:pStyle w:val="Header"/>
    </w:pPr>
    <w:r>
      <w:rPr>
        <w:noProof/>
      </w:rPr>
      <w:drawing>
        <wp:inline distT="0" distB="0" distL="0" distR="0" wp14:anchorId="14C8FC6C" wp14:editId="74E935E8">
          <wp:extent cx="5731510" cy="1419860"/>
          <wp:effectExtent l="0" t="0" r="2540" b="8890"/>
          <wp:docPr id="9"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419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9EE"/>
    <w:multiLevelType w:val="hybridMultilevel"/>
    <w:tmpl w:val="3E18A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B15C0"/>
    <w:multiLevelType w:val="hybridMultilevel"/>
    <w:tmpl w:val="3BB2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A6619"/>
    <w:multiLevelType w:val="hybridMultilevel"/>
    <w:tmpl w:val="51929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641AAC"/>
    <w:multiLevelType w:val="hybridMultilevel"/>
    <w:tmpl w:val="D892E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2F15F0"/>
    <w:multiLevelType w:val="hybridMultilevel"/>
    <w:tmpl w:val="BA36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EC2890"/>
    <w:multiLevelType w:val="hybridMultilevel"/>
    <w:tmpl w:val="9F4E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E0F98"/>
    <w:multiLevelType w:val="hybridMultilevel"/>
    <w:tmpl w:val="B86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D66A9"/>
    <w:multiLevelType w:val="hybridMultilevel"/>
    <w:tmpl w:val="438A7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191CA2"/>
    <w:multiLevelType w:val="hybridMultilevel"/>
    <w:tmpl w:val="4472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A53E5"/>
    <w:multiLevelType w:val="hybridMultilevel"/>
    <w:tmpl w:val="A27AC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050A54"/>
    <w:multiLevelType w:val="hybridMultilevel"/>
    <w:tmpl w:val="D93A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9446B"/>
    <w:multiLevelType w:val="hybridMultilevel"/>
    <w:tmpl w:val="DCE8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F5665"/>
    <w:multiLevelType w:val="hybridMultilevel"/>
    <w:tmpl w:val="67A0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07784"/>
    <w:multiLevelType w:val="hybridMultilevel"/>
    <w:tmpl w:val="8A7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915A2"/>
    <w:multiLevelType w:val="hybridMultilevel"/>
    <w:tmpl w:val="55BA2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674102"/>
    <w:multiLevelType w:val="hybridMultilevel"/>
    <w:tmpl w:val="3CA25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585EF5"/>
    <w:multiLevelType w:val="hybridMultilevel"/>
    <w:tmpl w:val="48463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D87AA4"/>
    <w:multiLevelType w:val="hybridMultilevel"/>
    <w:tmpl w:val="6A4EC5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44AB2587"/>
    <w:multiLevelType w:val="hybridMultilevel"/>
    <w:tmpl w:val="E0942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0E2832"/>
    <w:multiLevelType w:val="hybridMultilevel"/>
    <w:tmpl w:val="F0A0B59A"/>
    <w:lvl w:ilvl="0" w:tplc="B360FC3A">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F72035B"/>
    <w:multiLevelType w:val="hybridMultilevel"/>
    <w:tmpl w:val="DFA4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B6626"/>
    <w:multiLevelType w:val="hybridMultilevel"/>
    <w:tmpl w:val="FA2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22E8E"/>
    <w:multiLevelType w:val="hybridMultilevel"/>
    <w:tmpl w:val="6F102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370F0B"/>
    <w:multiLevelType w:val="hybridMultilevel"/>
    <w:tmpl w:val="AD6A6A50"/>
    <w:lvl w:ilvl="0" w:tplc="F9283612">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86BDD"/>
    <w:multiLevelType w:val="hybridMultilevel"/>
    <w:tmpl w:val="9C2CB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CF2B81"/>
    <w:multiLevelType w:val="hybridMultilevel"/>
    <w:tmpl w:val="39AE2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4355C6"/>
    <w:multiLevelType w:val="hybridMultilevel"/>
    <w:tmpl w:val="BEA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F1856"/>
    <w:multiLevelType w:val="hybridMultilevel"/>
    <w:tmpl w:val="96A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C560D"/>
    <w:multiLevelType w:val="hybridMultilevel"/>
    <w:tmpl w:val="ED765A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EDB5FE8"/>
    <w:multiLevelType w:val="hybridMultilevel"/>
    <w:tmpl w:val="20F0E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60292012">
    <w:abstractNumId w:val="11"/>
  </w:num>
  <w:num w:numId="2" w16cid:durableId="2064525807">
    <w:abstractNumId w:val="8"/>
  </w:num>
  <w:num w:numId="3" w16cid:durableId="471482010">
    <w:abstractNumId w:val="17"/>
  </w:num>
  <w:num w:numId="4" w16cid:durableId="190146768">
    <w:abstractNumId w:val="13"/>
  </w:num>
  <w:num w:numId="5" w16cid:durableId="1315142719">
    <w:abstractNumId w:val="5"/>
  </w:num>
  <w:num w:numId="6" w16cid:durableId="1976792392">
    <w:abstractNumId w:val="9"/>
  </w:num>
  <w:num w:numId="7" w16cid:durableId="441345897">
    <w:abstractNumId w:val="25"/>
  </w:num>
  <w:num w:numId="8" w16cid:durableId="925580731">
    <w:abstractNumId w:val="26"/>
  </w:num>
  <w:num w:numId="9" w16cid:durableId="786628868">
    <w:abstractNumId w:val="18"/>
  </w:num>
  <w:num w:numId="10" w16cid:durableId="708602479">
    <w:abstractNumId w:val="21"/>
  </w:num>
  <w:num w:numId="11" w16cid:durableId="236794793">
    <w:abstractNumId w:val="20"/>
  </w:num>
  <w:num w:numId="12" w16cid:durableId="1297905224">
    <w:abstractNumId w:val="27"/>
  </w:num>
  <w:num w:numId="13" w16cid:durableId="1754475498">
    <w:abstractNumId w:val="1"/>
  </w:num>
  <w:num w:numId="14" w16cid:durableId="439838799">
    <w:abstractNumId w:val="6"/>
  </w:num>
  <w:num w:numId="15" w16cid:durableId="2073117006">
    <w:abstractNumId w:val="22"/>
  </w:num>
  <w:num w:numId="16" w16cid:durableId="1821918213">
    <w:abstractNumId w:val="4"/>
  </w:num>
  <w:num w:numId="17" w16cid:durableId="593131043">
    <w:abstractNumId w:val="29"/>
  </w:num>
  <w:num w:numId="18" w16cid:durableId="1234658055">
    <w:abstractNumId w:val="16"/>
  </w:num>
  <w:num w:numId="19" w16cid:durableId="576087173">
    <w:abstractNumId w:val="7"/>
  </w:num>
  <w:num w:numId="20" w16cid:durableId="2127233684">
    <w:abstractNumId w:val="15"/>
  </w:num>
  <w:num w:numId="21" w16cid:durableId="594896636">
    <w:abstractNumId w:val="24"/>
  </w:num>
  <w:num w:numId="22" w16cid:durableId="132987005">
    <w:abstractNumId w:val="3"/>
  </w:num>
  <w:num w:numId="23" w16cid:durableId="525287965">
    <w:abstractNumId w:val="2"/>
  </w:num>
  <w:num w:numId="24" w16cid:durableId="1276061786">
    <w:abstractNumId w:val="14"/>
  </w:num>
  <w:num w:numId="25" w16cid:durableId="223672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849406">
    <w:abstractNumId w:val="10"/>
  </w:num>
  <w:num w:numId="27" w16cid:durableId="630867194">
    <w:abstractNumId w:val="12"/>
  </w:num>
  <w:num w:numId="28" w16cid:durableId="1751123220">
    <w:abstractNumId w:val="19"/>
  </w:num>
  <w:num w:numId="29" w16cid:durableId="516970991">
    <w:abstractNumId w:val="0"/>
  </w:num>
  <w:num w:numId="30" w16cid:durableId="7621846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40"/>
    <w:rsid w:val="00000058"/>
    <w:rsid w:val="00001DA0"/>
    <w:rsid w:val="00002279"/>
    <w:rsid w:val="00003589"/>
    <w:rsid w:val="00004776"/>
    <w:rsid w:val="00006E1A"/>
    <w:rsid w:val="00007C66"/>
    <w:rsid w:val="00015011"/>
    <w:rsid w:val="00021515"/>
    <w:rsid w:val="00022037"/>
    <w:rsid w:val="00023491"/>
    <w:rsid w:val="00024529"/>
    <w:rsid w:val="00026458"/>
    <w:rsid w:val="00026F59"/>
    <w:rsid w:val="00031721"/>
    <w:rsid w:val="0003558F"/>
    <w:rsid w:val="00037F2E"/>
    <w:rsid w:val="00044AEE"/>
    <w:rsid w:val="000455B8"/>
    <w:rsid w:val="00050E1D"/>
    <w:rsid w:val="00050F62"/>
    <w:rsid w:val="00051CB9"/>
    <w:rsid w:val="000528FE"/>
    <w:rsid w:val="00053307"/>
    <w:rsid w:val="000559D0"/>
    <w:rsid w:val="00056501"/>
    <w:rsid w:val="00056C9A"/>
    <w:rsid w:val="00061020"/>
    <w:rsid w:val="000625D8"/>
    <w:rsid w:val="00064FAE"/>
    <w:rsid w:val="00066081"/>
    <w:rsid w:val="00067D6A"/>
    <w:rsid w:val="000705BA"/>
    <w:rsid w:val="00071D51"/>
    <w:rsid w:val="00073CAE"/>
    <w:rsid w:val="0007493C"/>
    <w:rsid w:val="00076717"/>
    <w:rsid w:val="00077BCA"/>
    <w:rsid w:val="0008069D"/>
    <w:rsid w:val="00081943"/>
    <w:rsid w:val="00083F23"/>
    <w:rsid w:val="00084095"/>
    <w:rsid w:val="00085D9D"/>
    <w:rsid w:val="00087D29"/>
    <w:rsid w:val="00090FCD"/>
    <w:rsid w:val="0009120D"/>
    <w:rsid w:val="0009181C"/>
    <w:rsid w:val="0009358D"/>
    <w:rsid w:val="00094545"/>
    <w:rsid w:val="000973BC"/>
    <w:rsid w:val="00097738"/>
    <w:rsid w:val="000A260C"/>
    <w:rsid w:val="000A38C6"/>
    <w:rsid w:val="000A45BB"/>
    <w:rsid w:val="000A6963"/>
    <w:rsid w:val="000A7EA7"/>
    <w:rsid w:val="000B2191"/>
    <w:rsid w:val="000B2977"/>
    <w:rsid w:val="000B3EDB"/>
    <w:rsid w:val="000B4423"/>
    <w:rsid w:val="000B5A6B"/>
    <w:rsid w:val="000B69C5"/>
    <w:rsid w:val="000C08F4"/>
    <w:rsid w:val="000C4EC6"/>
    <w:rsid w:val="000C504B"/>
    <w:rsid w:val="000C75F2"/>
    <w:rsid w:val="000D0C21"/>
    <w:rsid w:val="000D2A1B"/>
    <w:rsid w:val="000D2B47"/>
    <w:rsid w:val="000D370C"/>
    <w:rsid w:val="000D5ABD"/>
    <w:rsid w:val="000D7EEC"/>
    <w:rsid w:val="000E40FD"/>
    <w:rsid w:val="000E47C7"/>
    <w:rsid w:val="000E4E86"/>
    <w:rsid w:val="000E55B3"/>
    <w:rsid w:val="000E6CC2"/>
    <w:rsid w:val="000F12F5"/>
    <w:rsid w:val="000F2590"/>
    <w:rsid w:val="000F4853"/>
    <w:rsid w:val="000F53FB"/>
    <w:rsid w:val="000F6266"/>
    <w:rsid w:val="001007B8"/>
    <w:rsid w:val="001009F9"/>
    <w:rsid w:val="001048B8"/>
    <w:rsid w:val="0010710C"/>
    <w:rsid w:val="001101CC"/>
    <w:rsid w:val="00112AE8"/>
    <w:rsid w:val="0011392C"/>
    <w:rsid w:val="00113C28"/>
    <w:rsid w:val="001153D1"/>
    <w:rsid w:val="0011554F"/>
    <w:rsid w:val="00115F7E"/>
    <w:rsid w:val="00120ED7"/>
    <w:rsid w:val="0012128C"/>
    <w:rsid w:val="001225ED"/>
    <w:rsid w:val="00123E99"/>
    <w:rsid w:val="00124F14"/>
    <w:rsid w:val="00125173"/>
    <w:rsid w:val="00125A0D"/>
    <w:rsid w:val="001260A9"/>
    <w:rsid w:val="00126B8F"/>
    <w:rsid w:val="0013233C"/>
    <w:rsid w:val="0013338C"/>
    <w:rsid w:val="001339B5"/>
    <w:rsid w:val="0013431F"/>
    <w:rsid w:val="0013728B"/>
    <w:rsid w:val="0013758A"/>
    <w:rsid w:val="00142489"/>
    <w:rsid w:val="00142CF5"/>
    <w:rsid w:val="00144244"/>
    <w:rsid w:val="00145D53"/>
    <w:rsid w:val="00145FEA"/>
    <w:rsid w:val="00147558"/>
    <w:rsid w:val="00154BAD"/>
    <w:rsid w:val="00156703"/>
    <w:rsid w:val="0015738E"/>
    <w:rsid w:val="00157849"/>
    <w:rsid w:val="00157D4C"/>
    <w:rsid w:val="00157E73"/>
    <w:rsid w:val="00161B25"/>
    <w:rsid w:val="00162947"/>
    <w:rsid w:val="00162D15"/>
    <w:rsid w:val="00164AC3"/>
    <w:rsid w:val="00165584"/>
    <w:rsid w:val="001659BF"/>
    <w:rsid w:val="00166992"/>
    <w:rsid w:val="00167F7B"/>
    <w:rsid w:val="0017022E"/>
    <w:rsid w:val="0017095C"/>
    <w:rsid w:val="00170B29"/>
    <w:rsid w:val="00170C7A"/>
    <w:rsid w:val="00170CD1"/>
    <w:rsid w:val="00171007"/>
    <w:rsid w:val="001762FA"/>
    <w:rsid w:val="0017647B"/>
    <w:rsid w:val="001768AA"/>
    <w:rsid w:val="00176D22"/>
    <w:rsid w:val="00177587"/>
    <w:rsid w:val="00177635"/>
    <w:rsid w:val="00180078"/>
    <w:rsid w:val="0018030C"/>
    <w:rsid w:val="001816C5"/>
    <w:rsid w:val="001824A5"/>
    <w:rsid w:val="001845E6"/>
    <w:rsid w:val="0019023C"/>
    <w:rsid w:val="00190597"/>
    <w:rsid w:val="00190830"/>
    <w:rsid w:val="001942AA"/>
    <w:rsid w:val="00194D52"/>
    <w:rsid w:val="001953C8"/>
    <w:rsid w:val="00196AE1"/>
    <w:rsid w:val="00197781"/>
    <w:rsid w:val="001A176B"/>
    <w:rsid w:val="001A17B9"/>
    <w:rsid w:val="001A26C7"/>
    <w:rsid w:val="001A3429"/>
    <w:rsid w:val="001A495E"/>
    <w:rsid w:val="001A60E8"/>
    <w:rsid w:val="001A69F0"/>
    <w:rsid w:val="001A6F45"/>
    <w:rsid w:val="001A7619"/>
    <w:rsid w:val="001B04B2"/>
    <w:rsid w:val="001B0C6C"/>
    <w:rsid w:val="001B1ADF"/>
    <w:rsid w:val="001B374D"/>
    <w:rsid w:val="001B3F91"/>
    <w:rsid w:val="001B4470"/>
    <w:rsid w:val="001B4B7D"/>
    <w:rsid w:val="001B54E9"/>
    <w:rsid w:val="001C0959"/>
    <w:rsid w:val="001C11A2"/>
    <w:rsid w:val="001C2979"/>
    <w:rsid w:val="001C3486"/>
    <w:rsid w:val="001C34E9"/>
    <w:rsid w:val="001C48A1"/>
    <w:rsid w:val="001C53E1"/>
    <w:rsid w:val="001C7F07"/>
    <w:rsid w:val="001D085E"/>
    <w:rsid w:val="001D0F5A"/>
    <w:rsid w:val="001D2FD6"/>
    <w:rsid w:val="001D364E"/>
    <w:rsid w:val="001D491F"/>
    <w:rsid w:val="001D76E3"/>
    <w:rsid w:val="001E30E3"/>
    <w:rsid w:val="001E589C"/>
    <w:rsid w:val="001E7E38"/>
    <w:rsid w:val="001F09FA"/>
    <w:rsid w:val="001F49C6"/>
    <w:rsid w:val="001F4A76"/>
    <w:rsid w:val="001F79E1"/>
    <w:rsid w:val="00201FA9"/>
    <w:rsid w:val="00202EE3"/>
    <w:rsid w:val="00203755"/>
    <w:rsid w:val="002037C6"/>
    <w:rsid w:val="0020695F"/>
    <w:rsid w:val="002103C9"/>
    <w:rsid w:val="002124EE"/>
    <w:rsid w:val="002135B7"/>
    <w:rsid w:val="00213844"/>
    <w:rsid w:val="002148AE"/>
    <w:rsid w:val="0021633D"/>
    <w:rsid w:val="002220C1"/>
    <w:rsid w:val="0022227C"/>
    <w:rsid w:val="002238B9"/>
    <w:rsid w:val="00223B3F"/>
    <w:rsid w:val="002240AE"/>
    <w:rsid w:val="0022605E"/>
    <w:rsid w:val="002261C6"/>
    <w:rsid w:val="002307C2"/>
    <w:rsid w:val="00230BDB"/>
    <w:rsid w:val="0023359F"/>
    <w:rsid w:val="0023398A"/>
    <w:rsid w:val="00233CF1"/>
    <w:rsid w:val="00234E3D"/>
    <w:rsid w:val="00236EFA"/>
    <w:rsid w:val="00240503"/>
    <w:rsid w:val="00241144"/>
    <w:rsid w:val="00242AA2"/>
    <w:rsid w:val="002439EF"/>
    <w:rsid w:val="00243C6E"/>
    <w:rsid w:val="00243F3E"/>
    <w:rsid w:val="002447AD"/>
    <w:rsid w:val="00250A8D"/>
    <w:rsid w:val="00251BCF"/>
    <w:rsid w:val="002558D7"/>
    <w:rsid w:val="002566B5"/>
    <w:rsid w:val="00261F54"/>
    <w:rsid w:val="00262D19"/>
    <w:rsid w:val="00263558"/>
    <w:rsid w:val="00263D7D"/>
    <w:rsid w:val="00265436"/>
    <w:rsid w:val="00267D24"/>
    <w:rsid w:val="002751AF"/>
    <w:rsid w:val="002756EF"/>
    <w:rsid w:val="00275BBD"/>
    <w:rsid w:val="002763D6"/>
    <w:rsid w:val="00280DC3"/>
    <w:rsid w:val="00281163"/>
    <w:rsid w:val="0028258C"/>
    <w:rsid w:val="00283590"/>
    <w:rsid w:val="00283DAD"/>
    <w:rsid w:val="002848F2"/>
    <w:rsid w:val="0028540C"/>
    <w:rsid w:val="00287D48"/>
    <w:rsid w:val="00290B47"/>
    <w:rsid w:val="0029141E"/>
    <w:rsid w:val="0029341A"/>
    <w:rsid w:val="002934B5"/>
    <w:rsid w:val="0029362E"/>
    <w:rsid w:val="002967B1"/>
    <w:rsid w:val="002A1F14"/>
    <w:rsid w:val="002A23DB"/>
    <w:rsid w:val="002A379F"/>
    <w:rsid w:val="002B1DB8"/>
    <w:rsid w:val="002B28FF"/>
    <w:rsid w:val="002B3210"/>
    <w:rsid w:val="002B3DF5"/>
    <w:rsid w:val="002B46CF"/>
    <w:rsid w:val="002B6BD4"/>
    <w:rsid w:val="002B7A85"/>
    <w:rsid w:val="002B7B48"/>
    <w:rsid w:val="002C0694"/>
    <w:rsid w:val="002C309E"/>
    <w:rsid w:val="002C3E0E"/>
    <w:rsid w:val="002C634A"/>
    <w:rsid w:val="002D11C5"/>
    <w:rsid w:val="002D2275"/>
    <w:rsid w:val="002D39C3"/>
    <w:rsid w:val="002D3F6E"/>
    <w:rsid w:val="002D4495"/>
    <w:rsid w:val="002D4855"/>
    <w:rsid w:val="002D523A"/>
    <w:rsid w:val="002D7B90"/>
    <w:rsid w:val="002D7FC2"/>
    <w:rsid w:val="002E1602"/>
    <w:rsid w:val="002E3779"/>
    <w:rsid w:val="002E6000"/>
    <w:rsid w:val="002F019F"/>
    <w:rsid w:val="002F073F"/>
    <w:rsid w:val="002F36F9"/>
    <w:rsid w:val="002F3942"/>
    <w:rsid w:val="002F4254"/>
    <w:rsid w:val="002F50E3"/>
    <w:rsid w:val="002F591E"/>
    <w:rsid w:val="002F6675"/>
    <w:rsid w:val="002F7392"/>
    <w:rsid w:val="00300DD2"/>
    <w:rsid w:val="00300ED1"/>
    <w:rsid w:val="00301D10"/>
    <w:rsid w:val="00303731"/>
    <w:rsid w:val="00305847"/>
    <w:rsid w:val="003072CC"/>
    <w:rsid w:val="003129BC"/>
    <w:rsid w:val="0031553E"/>
    <w:rsid w:val="0031602E"/>
    <w:rsid w:val="00317E19"/>
    <w:rsid w:val="00320C5E"/>
    <w:rsid w:val="00321D64"/>
    <w:rsid w:val="00321E81"/>
    <w:rsid w:val="00323D33"/>
    <w:rsid w:val="003242EC"/>
    <w:rsid w:val="003253B4"/>
    <w:rsid w:val="003256F1"/>
    <w:rsid w:val="0032613C"/>
    <w:rsid w:val="00331496"/>
    <w:rsid w:val="003323E4"/>
    <w:rsid w:val="00334BCC"/>
    <w:rsid w:val="003355A3"/>
    <w:rsid w:val="003372EC"/>
    <w:rsid w:val="00341CC2"/>
    <w:rsid w:val="00342EC3"/>
    <w:rsid w:val="00344625"/>
    <w:rsid w:val="00345BB0"/>
    <w:rsid w:val="00346491"/>
    <w:rsid w:val="0034698F"/>
    <w:rsid w:val="00347D55"/>
    <w:rsid w:val="0035186F"/>
    <w:rsid w:val="00351CB8"/>
    <w:rsid w:val="0035243B"/>
    <w:rsid w:val="003524B3"/>
    <w:rsid w:val="003534ED"/>
    <w:rsid w:val="00355F01"/>
    <w:rsid w:val="003570A0"/>
    <w:rsid w:val="00360AB1"/>
    <w:rsid w:val="003620DE"/>
    <w:rsid w:val="00365601"/>
    <w:rsid w:val="00365FD2"/>
    <w:rsid w:val="00371173"/>
    <w:rsid w:val="003732FC"/>
    <w:rsid w:val="0037362E"/>
    <w:rsid w:val="00373C6F"/>
    <w:rsid w:val="00375EF7"/>
    <w:rsid w:val="00380DE9"/>
    <w:rsid w:val="00382FB5"/>
    <w:rsid w:val="0038310A"/>
    <w:rsid w:val="003833D0"/>
    <w:rsid w:val="003871B9"/>
    <w:rsid w:val="0038781F"/>
    <w:rsid w:val="00390E77"/>
    <w:rsid w:val="00391F0F"/>
    <w:rsid w:val="00392850"/>
    <w:rsid w:val="003939A7"/>
    <w:rsid w:val="00394136"/>
    <w:rsid w:val="00396F06"/>
    <w:rsid w:val="00397E10"/>
    <w:rsid w:val="003A0865"/>
    <w:rsid w:val="003A2A8A"/>
    <w:rsid w:val="003A2C3D"/>
    <w:rsid w:val="003A3176"/>
    <w:rsid w:val="003A6B1B"/>
    <w:rsid w:val="003A6E27"/>
    <w:rsid w:val="003B08FC"/>
    <w:rsid w:val="003B2456"/>
    <w:rsid w:val="003B4E39"/>
    <w:rsid w:val="003B7800"/>
    <w:rsid w:val="003C00AF"/>
    <w:rsid w:val="003C0522"/>
    <w:rsid w:val="003C254A"/>
    <w:rsid w:val="003C2590"/>
    <w:rsid w:val="003C46EE"/>
    <w:rsid w:val="003C62B1"/>
    <w:rsid w:val="003C6B40"/>
    <w:rsid w:val="003C76BB"/>
    <w:rsid w:val="003D02CF"/>
    <w:rsid w:val="003D17BD"/>
    <w:rsid w:val="003D1E20"/>
    <w:rsid w:val="003D2F16"/>
    <w:rsid w:val="003D5A7C"/>
    <w:rsid w:val="003D7089"/>
    <w:rsid w:val="003D739C"/>
    <w:rsid w:val="003E2CBE"/>
    <w:rsid w:val="003E3163"/>
    <w:rsid w:val="003E3DB7"/>
    <w:rsid w:val="003E4801"/>
    <w:rsid w:val="003E48CA"/>
    <w:rsid w:val="003E679A"/>
    <w:rsid w:val="003F0618"/>
    <w:rsid w:val="003F157A"/>
    <w:rsid w:val="003F284E"/>
    <w:rsid w:val="003F2953"/>
    <w:rsid w:val="003F3DFC"/>
    <w:rsid w:val="003F3EE4"/>
    <w:rsid w:val="003F49D2"/>
    <w:rsid w:val="00400C1F"/>
    <w:rsid w:val="004025F6"/>
    <w:rsid w:val="0040278A"/>
    <w:rsid w:val="004029D1"/>
    <w:rsid w:val="00405CCE"/>
    <w:rsid w:val="00406906"/>
    <w:rsid w:val="0040697E"/>
    <w:rsid w:val="00410371"/>
    <w:rsid w:val="00411D56"/>
    <w:rsid w:val="00413605"/>
    <w:rsid w:val="00415B7A"/>
    <w:rsid w:val="00416AF6"/>
    <w:rsid w:val="00416C8B"/>
    <w:rsid w:val="0041752F"/>
    <w:rsid w:val="00420E2A"/>
    <w:rsid w:val="0042229B"/>
    <w:rsid w:val="0042668B"/>
    <w:rsid w:val="00427C18"/>
    <w:rsid w:val="00430979"/>
    <w:rsid w:val="004323EB"/>
    <w:rsid w:val="00433B51"/>
    <w:rsid w:val="00433E9C"/>
    <w:rsid w:val="00437311"/>
    <w:rsid w:val="004428C1"/>
    <w:rsid w:val="00442CC7"/>
    <w:rsid w:val="00443206"/>
    <w:rsid w:val="00443B1F"/>
    <w:rsid w:val="00443E48"/>
    <w:rsid w:val="00445989"/>
    <w:rsid w:val="0044635F"/>
    <w:rsid w:val="00452B02"/>
    <w:rsid w:val="0045361F"/>
    <w:rsid w:val="004552A6"/>
    <w:rsid w:val="004564FD"/>
    <w:rsid w:val="00456AF6"/>
    <w:rsid w:val="0046221F"/>
    <w:rsid w:val="00462B29"/>
    <w:rsid w:val="00463B2B"/>
    <w:rsid w:val="004658DE"/>
    <w:rsid w:val="004658F4"/>
    <w:rsid w:val="0046638D"/>
    <w:rsid w:val="004663C9"/>
    <w:rsid w:val="00473168"/>
    <w:rsid w:val="0047564B"/>
    <w:rsid w:val="00476B64"/>
    <w:rsid w:val="00480272"/>
    <w:rsid w:val="004816BF"/>
    <w:rsid w:val="00484274"/>
    <w:rsid w:val="0048499E"/>
    <w:rsid w:val="00484C01"/>
    <w:rsid w:val="00486B29"/>
    <w:rsid w:val="0048721D"/>
    <w:rsid w:val="00487D08"/>
    <w:rsid w:val="00490301"/>
    <w:rsid w:val="00490536"/>
    <w:rsid w:val="004935A6"/>
    <w:rsid w:val="00495824"/>
    <w:rsid w:val="004A0106"/>
    <w:rsid w:val="004A1B61"/>
    <w:rsid w:val="004A2BBD"/>
    <w:rsid w:val="004A3816"/>
    <w:rsid w:val="004A3C90"/>
    <w:rsid w:val="004A45E1"/>
    <w:rsid w:val="004A4764"/>
    <w:rsid w:val="004A54F0"/>
    <w:rsid w:val="004A76CF"/>
    <w:rsid w:val="004A7C67"/>
    <w:rsid w:val="004B0174"/>
    <w:rsid w:val="004C0640"/>
    <w:rsid w:val="004C1169"/>
    <w:rsid w:val="004C25DB"/>
    <w:rsid w:val="004C2C79"/>
    <w:rsid w:val="004C43D9"/>
    <w:rsid w:val="004C4BC4"/>
    <w:rsid w:val="004C4C7A"/>
    <w:rsid w:val="004C5124"/>
    <w:rsid w:val="004C6043"/>
    <w:rsid w:val="004C6DC6"/>
    <w:rsid w:val="004C7358"/>
    <w:rsid w:val="004C7D34"/>
    <w:rsid w:val="004D1357"/>
    <w:rsid w:val="004D25F2"/>
    <w:rsid w:val="004D33EF"/>
    <w:rsid w:val="004D7039"/>
    <w:rsid w:val="004D70FD"/>
    <w:rsid w:val="004E039A"/>
    <w:rsid w:val="004E0AA9"/>
    <w:rsid w:val="004E4930"/>
    <w:rsid w:val="004E56DD"/>
    <w:rsid w:val="004E5826"/>
    <w:rsid w:val="004E61D9"/>
    <w:rsid w:val="004E6D38"/>
    <w:rsid w:val="004F1297"/>
    <w:rsid w:val="004F58EE"/>
    <w:rsid w:val="004F7940"/>
    <w:rsid w:val="00500A8D"/>
    <w:rsid w:val="00501997"/>
    <w:rsid w:val="005030CB"/>
    <w:rsid w:val="00503CB6"/>
    <w:rsid w:val="00503D41"/>
    <w:rsid w:val="0050453D"/>
    <w:rsid w:val="005049E3"/>
    <w:rsid w:val="00505D7B"/>
    <w:rsid w:val="00505DC5"/>
    <w:rsid w:val="00506CDD"/>
    <w:rsid w:val="005070AE"/>
    <w:rsid w:val="00507AF8"/>
    <w:rsid w:val="00512014"/>
    <w:rsid w:val="00513538"/>
    <w:rsid w:val="00513B0C"/>
    <w:rsid w:val="00517CA4"/>
    <w:rsid w:val="005279F0"/>
    <w:rsid w:val="0053174F"/>
    <w:rsid w:val="00531F6D"/>
    <w:rsid w:val="00533C63"/>
    <w:rsid w:val="00544BFA"/>
    <w:rsid w:val="00546FCC"/>
    <w:rsid w:val="00547402"/>
    <w:rsid w:val="0055038F"/>
    <w:rsid w:val="00553C69"/>
    <w:rsid w:val="005558EE"/>
    <w:rsid w:val="00555CDF"/>
    <w:rsid w:val="00555F9C"/>
    <w:rsid w:val="00560600"/>
    <w:rsid w:val="00560E01"/>
    <w:rsid w:val="00562732"/>
    <w:rsid w:val="00564087"/>
    <w:rsid w:val="0056447C"/>
    <w:rsid w:val="00564DC2"/>
    <w:rsid w:val="00567E53"/>
    <w:rsid w:val="005704D6"/>
    <w:rsid w:val="00570F49"/>
    <w:rsid w:val="00571360"/>
    <w:rsid w:val="00571E05"/>
    <w:rsid w:val="00573CBA"/>
    <w:rsid w:val="005805F8"/>
    <w:rsid w:val="00580B24"/>
    <w:rsid w:val="00581A23"/>
    <w:rsid w:val="00582C38"/>
    <w:rsid w:val="005836D6"/>
    <w:rsid w:val="0058420D"/>
    <w:rsid w:val="00584874"/>
    <w:rsid w:val="00584BB3"/>
    <w:rsid w:val="00584C67"/>
    <w:rsid w:val="00584D22"/>
    <w:rsid w:val="00585BCB"/>
    <w:rsid w:val="005945C0"/>
    <w:rsid w:val="00595A84"/>
    <w:rsid w:val="005965D6"/>
    <w:rsid w:val="0059716F"/>
    <w:rsid w:val="00597D27"/>
    <w:rsid w:val="005A1119"/>
    <w:rsid w:val="005A1A05"/>
    <w:rsid w:val="005A2291"/>
    <w:rsid w:val="005A23B4"/>
    <w:rsid w:val="005A2951"/>
    <w:rsid w:val="005B0AB1"/>
    <w:rsid w:val="005B1D7A"/>
    <w:rsid w:val="005B26B8"/>
    <w:rsid w:val="005B2A41"/>
    <w:rsid w:val="005B5413"/>
    <w:rsid w:val="005B5A69"/>
    <w:rsid w:val="005B60CD"/>
    <w:rsid w:val="005B65D3"/>
    <w:rsid w:val="005B7B4D"/>
    <w:rsid w:val="005C09BB"/>
    <w:rsid w:val="005C13A5"/>
    <w:rsid w:val="005C2C64"/>
    <w:rsid w:val="005C36E6"/>
    <w:rsid w:val="005C399D"/>
    <w:rsid w:val="005C489B"/>
    <w:rsid w:val="005C6874"/>
    <w:rsid w:val="005C71CF"/>
    <w:rsid w:val="005D003F"/>
    <w:rsid w:val="005D0868"/>
    <w:rsid w:val="005D135A"/>
    <w:rsid w:val="005D288F"/>
    <w:rsid w:val="005D3CC1"/>
    <w:rsid w:val="005D62DD"/>
    <w:rsid w:val="005D6A95"/>
    <w:rsid w:val="005E2556"/>
    <w:rsid w:val="005E431C"/>
    <w:rsid w:val="005E71DA"/>
    <w:rsid w:val="005E726C"/>
    <w:rsid w:val="005F1110"/>
    <w:rsid w:val="005F32D5"/>
    <w:rsid w:val="005F5EE3"/>
    <w:rsid w:val="005F6138"/>
    <w:rsid w:val="005F6E3F"/>
    <w:rsid w:val="005F7D02"/>
    <w:rsid w:val="0060211D"/>
    <w:rsid w:val="00604836"/>
    <w:rsid w:val="0060522D"/>
    <w:rsid w:val="006060A6"/>
    <w:rsid w:val="00606802"/>
    <w:rsid w:val="00606BE9"/>
    <w:rsid w:val="006123B2"/>
    <w:rsid w:val="00612BF3"/>
    <w:rsid w:val="0061310A"/>
    <w:rsid w:val="006139ED"/>
    <w:rsid w:val="00613D59"/>
    <w:rsid w:val="006141CE"/>
    <w:rsid w:val="006164FF"/>
    <w:rsid w:val="00616806"/>
    <w:rsid w:val="00616BC3"/>
    <w:rsid w:val="0061726C"/>
    <w:rsid w:val="006176ED"/>
    <w:rsid w:val="00620161"/>
    <w:rsid w:val="006221D9"/>
    <w:rsid w:val="00623433"/>
    <w:rsid w:val="00623B03"/>
    <w:rsid w:val="00624669"/>
    <w:rsid w:val="006267CB"/>
    <w:rsid w:val="00626A5F"/>
    <w:rsid w:val="00627ABD"/>
    <w:rsid w:val="00630183"/>
    <w:rsid w:val="00630231"/>
    <w:rsid w:val="00631A9D"/>
    <w:rsid w:val="00631E48"/>
    <w:rsid w:val="00636C64"/>
    <w:rsid w:val="006370ED"/>
    <w:rsid w:val="00640027"/>
    <w:rsid w:val="00641C3A"/>
    <w:rsid w:val="00641CF0"/>
    <w:rsid w:val="006426EF"/>
    <w:rsid w:val="00643E83"/>
    <w:rsid w:val="00645E28"/>
    <w:rsid w:val="006466A4"/>
    <w:rsid w:val="00647EAA"/>
    <w:rsid w:val="00651722"/>
    <w:rsid w:val="0065393E"/>
    <w:rsid w:val="00654807"/>
    <w:rsid w:val="00655AB1"/>
    <w:rsid w:val="00657463"/>
    <w:rsid w:val="00660225"/>
    <w:rsid w:val="00661740"/>
    <w:rsid w:val="006641BB"/>
    <w:rsid w:val="0066573E"/>
    <w:rsid w:val="00670073"/>
    <w:rsid w:val="00670A95"/>
    <w:rsid w:val="00671D79"/>
    <w:rsid w:val="00673460"/>
    <w:rsid w:val="00675249"/>
    <w:rsid w:val="0067639F"/>
    <w:rsid w:val="00680F9B"/>
    <w:rsid w:val="006811E5"/>
    <w:rsid w:val="006820A0"/>
    <w:rsid w:val="006821CB"/>
    <w:rsid w:val="006823E0"/>
    <w:rsid w:val="00685599"/>
    <w:rsid w:val="00687EE9"/>
    <w:rsid w:val="006922BD"/>
    <w:rsid w:val="00692951"/>
    <w:rsid w:val="00692DA7"/>
    <w:rsid w:val="00693376"/>
    <w:rsid w:val="00695002"/>
    <w:rsid w:val="00696365"/>
    <w:rsid w:val="00697FAD"/>
    <w:rsid w:val="006A0076"/>
    <w:rsid w:val="006A1053"/>
    <w:rsid w:val="006A64D4"/>
    <w:rsid w:val="006B1FE5"/>
    <w:rsid w:val="006B42D9"/>
    <w:rsid w:val="006B648C"/>
    <w:rsid w:val="006C4230"/>
    <w:rsid w:val="006C61F0"/>
    <w:rsid w:val="006C7218"/>
    <w:rsid w:val="006D0B0E"/>
    <w:rsid w:val="006D1235"/>
    <w:rsid w:val="006D204B"/>
    <w:rsid w:val="006D2B77"/>
    <w:rsid w:val="006D379A"/>
    <w:rsid w:val="006D397B"/>
    <w:rsid w:val="006D603B"/>
    <w:rsid w:val="006D7499"/>
    <w:rsid w:val="006E247C"/>
    <w:rsid w:val="006E40D6"/>
    <w:rsid w:val="006E5738"/>
    <w:rsid w:val="006E7974"/>
    <w:rsid w:val="006F08CB"/>
    <w:rsid w:val="006F3446"/>
    <w:rsid w:val="006F3EA1"/>
    <w:rsid w:val="006F4187"/>
    <w:rsid w:val="006F487C"/>
    <w:rsid w:val="006F4B42"/>
    <w:rsid w:val="006F4BF2"/>
    <w:rsid w:val="006F53A0"/>
    <w:rsid w:val="006F6AC9"/>
    <w:rsid w:val="006F7840"/>
    <w:rsid w:val="00700858"/>
    <w:rsid w:val="007014E3"/>
    <w:rsid w:val="00701B03"/>
    <w:rsid w:val="00702083"/>
    <w:rsid w:val="00703EF2"/>
    <w:rsid w:val="00704551"/>
    <w:rsid w:val="00704FC8"/>
    <w:rsid w:val="0070717C"/>
    <w:rsid w:val="00710F8D"/>
    <w:rsid w:val="00710FCE"/>
    <w:rsid w:val="00711A93"/>
    <w:rsid w:val="00713F3A"/>
    <w:rsid w:val="007150DF"/>
    <w:rsid w:val="00715AF9"/>
    <w:rsid w:val="00715DB5"/>
    <w:rsid w:val="007173BF"/>
    <w:rsid w:val="00722412"/>
    <w:rsid w:val="00722DE0"/>
    <w:rsid w:val="00723A7B"/>
    <w:rsid w:val="00725DFA"/>
    <w:rsid w:val="007265C4"/>
    <w:rsid w:val="007271C9"/>
    <w:rsid w:val="00727437"/>
    <w:rsid w:val="00730933"/>
    <w:rsid w:val="00731F09"/>
    <w:rsid w:val="0073299D"/>
    <w:rsid w:val="00732A60"/>
    <w:rsid w:val="00732CDF"/>
    <w:rsid w:val="007342E1"/>
    <w:rsid w:val="007344AE"/>
    <w:rsid w:val="00734A28"/>
    <w:rsid w:val="00736430"/>
    <w:rsid w:val="00737462"/>
    <w:rsid w:val="00737613"/>
    <w:rsid w:val="00740535"/>
    <w:rsid w:val="007427B0"/>
    <w:rsid w:val="00742A6A"/>
    <w:rsid w:val="007464E6"/>
    <w:rsid w:val="0075011F"/>
    <w:rsid w:val="00752D76"/>
    <w:rsid w:val="0075554B"/>
    <w:rsid w:val="00756A85"/>
    <w:rsid w:val="00757804"/>
    <w:rsid w:val="007579D3"/>
    <w:rsid w:val="00760376"/>
    <w:rsid w:val="00760CA4"/>
    <w:rsid w:val="00761C1F"/>
    <w:rsid w:val="00763FF1"/>
    <w:rsid w:val="007641DC"/>
    <w:rsid w:val="0076554B"/>
    <w:rsid w:val="00765CE0"/>
    <w:rsid w:val="00766AE6"/>
    <w:rsid w:val="00767CB4"/>
    <w:rsid w:val="007706C8"/>
    <w:rsid w:val="00771681"/>
    <w:rsid w:val="00771776"/>
    <w:rsid w:val="007732BC"/>
    <w:rsid w:val="00773A6A"/>
    <w:rsid w:val="007752F4"/>
    <w:rsid w:val="00776942"/>
    <w:rsid w:val="007837FC"/>
    <w:rsid w:val="007851CD"/>
    <w:rsid w:val="0078738C"/>
    <w:rsid w:val="007873AE"/>
    <w:rsid w:val="00787515"/>
    <w:rsid w:val="0079099C"/>
    <w:rsid w:val="00790BB3"/>
    <w:rsid w:val="00790EFE"/>
    <w:rsid w:val="007915B5"/>
    <w:rsid w:val="007916E0"/>
    <w:rsid w:val="007920F5"/>
    <w:rsid w:val="00792F3F"/>
    <w:rsid w:val="00793DC3"/>
    <w:rsid w:val="00794869"/>
    <w:rsid w:val="00794CA3"/>
    <w:rsid w:val="00795FB5"/>
    <w:rsid w:val="007A1B2B"/>
    <w:rsid w:val="007A1DD6"/>
    <w:rsid w:val="007A1FDE"/>
    <w:rsid w:val="007A3CC7"/>
    <w:rsid w:val="007A472F"/>
    <w:rsid w:val="007A561F"/>
    <w:rsid w:val="007A66FF"/>
    <w:rsid w:val="007A78F1"/>
    <w:rsid w:val="007B01F3"/>
    <w:rsid w:val="007B1DA9"/>
    <w:rsid w:val="007B377A"/>
    <w:rsid w:val="007B3B0A"/>
    <w:rsid w:val="007B3E4E"/>
    <w:rsid w:val="007B7372"/>
    <w:rsid w:val="007B7962"/>
    <w:rsid w:val="007C0834"/>
    <w:rsid w:val="007C1A3F"/>
    <w:rsid w:val="007C2A8A"/>
    <w:rsid w:val="007C4235"/>
    <w:rsid w:val="007C76A6"/>
    <w:rsid w:val="007D0FB2"/>
    <w:rsid w:val="007D2B17"/>
    <w:rsid w:val="007D41F0"/>
    <w:rsid w:val="007E18C8"/>
    <w:rsid w:val="007E1D6B"/>
    <w:rsid w:val="007E1E67"/>
    <w:rsid w:val="007E27CA"/>
    <w:rsid w:val="007E56B3"/>
    <w:rsid w:val="007E5EB4"/>
    <w:rsid w:val="007E6301"/>
    <w:rsid w:val="007E641B"/>
    <w:rsid w:val="007E7E92"/>
    <w:rsid w:val="007F130C"/>
    <w:rsid w:val="007F23D6"/>
    <w:rsid w:val="008023E8"/>
    <w:rsid w:val="008033A1"/>
    <w:rsid w:val="00804EF2"/>
    <w:rsid w:val="008050BD"/>
    <w:rsid w:val="008071BD"/>
    <w:rsid w:val="008105CB"/>
    <w:rsid w:val="008125A6"/>
    <w:rsid w:val="0081306D"/>
    <w:rsid w:val="008130BC"/>
    <w:rsid w:val="0082378E"/>
    <w:rsid w:val="00824390"/>
    <w:rsid w:val="008253C2"/>
    <w:rsid w:val="00825D97"/>
    <w:rsid w:val="00826F57"/>
    <w:rsid w:val="00830485"/>
    <w:rsid w:val="008334EB"/>
    <w:rsid w:val="00833C2F"/>
    <w:rsid w:val="008429BD"/>
    <w:rsid w:val="008431D8"/>
    <w:rsid w:val="0084351D"/>
    <w:rsid w:val="00846311"/>
    <w:rsid w:val="008464E8"/>
    <w:rsid w:val="00846923"/>
    <w:rsid w:val="00854914"/>
    <w:rsid w:val="00855C35"/>
    <w:rsid w:val="008632D8"/>
    <w:rsid w:val="00865C98"/>
    <w:rsid w:val="00866CCB"/>
    <w:rsid w:val="00867E9B"/>
    <w:rsid w:val="00870550"/>
    <w:rsid w:val="00870AAB"/>
    <w:rsid w:val="008723AE"/>
    <w:rsid w:val="00873BAC"/>
    <w:rsid w:val="00874A2D"/>
    <w:rsid w:val="008753FC"/>
    <w:rsid w:val="00875724"/>
    <w:rsid w:val="0088036B"/>
    <w:rsid w:val="008816BA"/>
    <w:rsid w:val="0088378F"/>
    <w:rsid w:val="00884114"/>
    <w:rsid w:val="00884706"/>
    <w:rsid w:val="00884AE8"/>
    <w:rsid w:val="00884C47"/>
    <w:rsid w:val="00884C4A"/>
    <w:rsid w:val="00884C69"/>
    <w:rsid w:val="008864EB"/>
    <w:rsid w:val="00886C68"/>
    <w:rsid w:val="00892A45"/>
    <w:rsid w:val="008933C6"/>
    <w:rsid w:val="00895479"/>
    <w:rsid w:val="0089630C"/>
    <w:rsid w:val="00896F46"/>
    <w:rsid w:val="00897FD9"/>
    <w:rsid w:val="008A1065"/>
    <w:rsid w:val="008A211D"/>
    <w:rsid w:val="008A49ED"/>
    <w:rsid w:val="008A4F06"/>
    <w:rsid w:val="008A67C9"/>
    <w:rsid w:val="008B349D"/>
    <w:rsid w:val="008B380C"/>
    <w:rsid w:val="008B425D"/>
    <w:rsid w:val="008B5E32"/>
    <w:rsid w:val="008B7FB7"/>
    <w:rsid w:val="008C0371"/>
    <w:rsid w:val="008C18C0"/>
    <w:rsid w:val="008C20DC"/>
    <w:rsid w:val="008C23D0"/>
    <w:rsid w:val="008C3797"/>
    <w:rsid w:val="008C48C6"/>
    <w:rsid w:val="008C563F"/>
    <w:rsid w:val="008C5BBA"/>
    <w:rsid w:val="008C7FC2"/>
    <w:rsid w:val="008C7FF3"/>
    <w:rsid w:val="008D075B"/>
    <w:rsid w:val="008D3FE3"/>
    <w:rsid w:val="008D4CFF"/>
    <w:rsid w:val="008D7374"/>
    <w:rsid w:val="008E2DA7"/>
    <w:rsid w:val="008E485D"/>
    <w:rsid w:val="008E6940"/>
    <w:rsid w:val="008E6A08"/>
    <w:rsid w:val="008E7F51"/>
    <w:rsid w:val="008F314F"/>
    <w:rsid w:val="008F5223"/>
    <w:rsid w:val="008F5774"/>
    <w:rsid w:val="00902379"/>
    <w:rsid w:val="00903EA7"/>
    <w:rsid w:val="009046C5"/>
    <w:rsid w:val="00911BEC"/>
    <w:rsid w:val="009132D7"/>
    <w:rsid w:val="00913594"/>
    <w:rsid w:val="00915B07"/>
    <w:rsid w:val="009200D1"/>
    <w:rsid w:val="00920435"/>
    <w:rsid w:val="0092137B"/>
    <w:rsid w:val="00921742"/>
    <w:rsid w:val="00921E6D"/>
    <w:rsid w:val="00921F11"/>
    <w:rsid w:val="00922F0F"/>
    <w:rsid w:val="00924749"/>
    <w:rsid w:val="00925DD5"/>
    <w:rsid w:val="00927DA5"/>
    <w:rsid w:val="00927FAF"/>
    <w:rsid w:val="00931183"/>
    <w:rsid w:val="009322F8"/>
    <w:rsid w:val="00932391"/>
    <w:rsid w:val="009340B6"/>
    <w:rsid w:val="0093605E"/>
    <w:rsid w:val="00936686"/>
    <w:rsid w:val="00937113"/>
    <w:rsid w:val="009418B8"/>
    <w:rsid w:val="00943348"/>
    <w:rsid w:val="00943FD5"/>
    <w:rsid w:val="009450CA"/>
    <w:rsid w:val="009458E5"/>
    <w:rsid w:val="00945F86"/>
    <w:rsid w:val="00946C9D"/>
    <w:rsid w:val="00946E70"/>
    <w:rsid w:val="00947899"/>
    <w:rsid w:val="00951221"/>
    <w:rsid w:val="00951C34"/>
    <w:rsid w:val="009524FE"/>
    <w:rsid w:val="00952A4F"/>
    <w:rsid w:val="00952C47"/>
    <w:rsid w:val="00953528"/>
    <w:rsid w:val="00954EF2"/>
    <w:rsid w:val="009570E4"/>
    <w:rsid w:val="0095718E"/>
    <w:rsid w:val="00957373"/>
    <w:rsid w:val="009617D3"/>
    <w:rsid w:val="0096413E"/>
    <w:rsid w:val="00965B19"/>
    <w:rsid w:val="00965F40"/>
    <w:rsid w:val="0096770B"/>
    <w:rsid w:val="009679B0"/>
    <w:rsid w:val="00970803"/>
    <w:rsid w:val="0097168B"/>
    <w:rsid w:val="00976B14"/>
    <w:rsid w:val="0098390B"/>
    <w:rsid w:val="00983DBA"/>
    <w:rsid w:val="00984FA1"/>
    <w:rsid w:val="00987A41"/>
    <w:rsid w:val="00987E97"/>
    <w:rsid w:val="00990A50"/>
    <w:rsid w:val="00991384"/>
    <w:rsid w:val="00992467"/>
    <w:rsid w:val="00992E65"/>
    <w:rsid w:val="009A181D"/>
    <w:rsid w:val="009A1F04"/>
    <w:rsid w:val="009A434E"/>
    <w:rsid w:val="009A48D9"/>
    <w:rsid w:val="009A61E3"/>
    <w:rsid w:val="009B0079"/>
    <w:rsid w:val="009B0D72"/>
    <w:rsid w:val="009B18C4"/>
    <w:rsid w:val="009B2987"/>
    <w:rsid w:val="009B4836"/>
    <w:rsid w:val="009B59F9"/>
    <w:rsid w:val="009C46A9"/>
    <w:rsid w:val="009C5756"/>
    <w:rsid w:val="009D1A41"/>
    <w:rsid w:val="009D1E8A"/>
    <w:rsid w:val="009D2E4B"/>
    <w:rsid w:val="009D34F8"/>
    <w:rsid w:val="009D40CE"/>
    <w:rsid w:val="009D40DD"/>
    <w:rsid w:val="009D4E3F"/>
    <w:rsid w:val="009D51C9"/>
    <w:rsid w:val="009D53AA"/>
    <w:rsid w:val="009D7439"/>
    <w:rsid w:val="009E1284"/>
    <w:rsid w:val="009E207F"/>
    <w:rsid w:val="009E22C6"/>
    <w:rsid w:val="009E27F6"/>
    <w:rsid w:val="009E4972"/>
    <w:rsid w:val="009E4D3D"/>
    <w:rsid w:val="009E4E8E"/>
    <w:rsid w:val="009E5FE2"/>
    <w:rsid w:val="009E7846"/>
    <w:rsid w:val="009F0779"/>
    <w:rsid w:val="009F25D5"/>
    <w:rsid w:val="009F4CE0"/>
    <w:rsid w:val="009F4D72"/>
    <w:rsid w:val="00A00E10"/>
    <w:rsid w:val="00A013BF"/>
    <w:rsid w:val="00A02234"/>
    <w:rsid w:val="00A048AC"/>
    <w:rsid w:val="00A064B2"/>
    <w:rsid w:val="00A06529"/>
    <w:rsid w:val="00A065E8"/>
    <w:rsid w:val="00A0676A"/>
    <w:rsid w:val="00A07E33"/>
    <w:rsid w:val="00A104F0"/>
    <w:rsid w:val="00A11E57"/>
    <w:rsid w:val="00A12AA4"/>
    <w:rsid w:val="00A1330B"/>
    <w:rsid w:val="00A1444F"/>
    <w:rsid w:val="00A1452A"/>
    <w:rsid w:val="00A17F4A"/>
    <w:rsid w:val="00A2087B"/>
    <w:rsid w:val="00A22FDB"/>
    <w:rsid w:val="00A23947"/>
    <w:rsid w:val="00A244AA"/>
    <w:rsid w:val="00A25447"/>
    <w:rsid w:val="00A30378"/>
    <w:rsid w:val="00A3089F"/>
    <w:rsid w:val="00A31DF2"/>
    <w:rsid w:val="00A3453B"/>
    <w:rsid w:val="00A34BD6"/>
    <w:rsid w:val="00A35454"/>
    <w:rsid w:val="00A35754"/>
    <w:rsid w:val="00A401AC"/>
    <w:rsid w:val="00A404CD"/>
    <w:rsid w:val="00A427ED"/>
    <w:rsid w:val="00A44594"/>
    <w:rsid w:val="00A479CA"/>
    <w:rsid w:val="00A47E12"/>
    <w:rsid w:val="00A50751"/>
    <w:rsid w:val="00A51304"/>
    <w:rsid w:val="00A54141"/>
    <w:rsid w:val="00A570B5"/>
    <w:rsid w:val="00A5765A"/>
    <w:rsid w:val="00A579C3"/>
    <w:rsid w:val="00A602EB"/>
    <w:rsid w:val="00A6156D"/>
    <w:rsid w:val="00A61983"/>
    <w:rsid w:val="00A62365"/>
    <w:rsid w:val="00A633C6"/>
    <w:rsid w:val="00A63E83"/>
    <w:rsid w:val="00A64399"/>
    <w:rsid w:val="00A649E9"/>
    <w:rsid w:val="00A67693"/>
    <w:rsid w:val="00A67A6F"/>
    <w:rsid w:val="00A67BCC"/>
    <w:rsid w:val="00A71D4B"/>
    <w:rsid w:val="00A72AA3"/>
    <w:rsid w:val="00A72BE4"/>
    <w:rsid w:val="00A74571"/>
    <w:rsid w:val="00A74B9A"/>
    <w:rsid w:val="00A80763"/>
    <w:rsid w:val="00A81581"/>
    <w:rsid w:val="00A817FA"/>
    <w:rsid w:val="00A81F94"/>
    <w:rsid w:val="00A83A61"/>
    <w:rsid w:val="00A83FA9"/>
    <w:rsid w:val="00A85A7F"/>
    <w:rsid w:val="00A92791"/>
    <w:rsid w:val="00A940EF"/>
    <w:rsid w:val="00A943BE"/>
    <w:rsid w:val="00A95C17"/>
    <w:rsid w:val="00AA0351"/>
    <w:rsid w:val="00AA151B"/>
    <w:rsid w:val="00AA1AF1"/>
    <w:rsid w:val="00AB0774"/>
    <w:rsid w:val="00AB183A"/>
    <w:rsid w:val="00AB53D6"/>
    <w:rsid w:val="00AC008E"/>
    <w:rsid w:val="00AC1AF7"/>
    <w:rsid w:val="00AC4209"/>
    <w:rsid w:val="00AC44B8"/>
    <w:rsid w:val="00AC5140"/>
    <w:rsid w:val="00AC65BA"/>
    <w:rsid w:val="00AD0BAB"/>
    <w:rsid w:val="00AD0F73"/>
    <w:rsid w:val="00AD1F13"/>
    <w:rsid w:val="00AD21AE"/>
    <w:rsid w:val="00AD2439"/>
    <w:rsid w:val="00AD35C9"/>
    <w:rsid w:val="00AD68F8"/>
    <w:rsid w:val="00AD7E51"/>
    <w:rsid w:val="00AE026A"/>
    <w:rsid w:val="00AE3600"/>
    <w:rsid w:val="00AE4B1A"/>
    <w:rsid w:val="00AE4F2C"/>
    <w:rsid w:val="00AE5BC4"/>
    <w:rsid w:val="00AE66E5"/>
    <w:rsid w:val="00AE75C6"/>
    <w:rsid w:val="00AF2241"/>
    <w:rsid w:val="00AF2EC1"/>
    <w:rsid w:val="00AF314F"/>
    <w:rsid w:val="00AF46B4"/>
    <w:rsid w:val="00AF6F4E"/>
    <w:rsid w:val="00AF74BA"/>
    <w:rsid w:val="00B00F64"/>
    <w:rsid w:val="00B01250"/>
    <w:rsid w:val="00B01FBA"/>
    <w:rsid w:val="00B031C8"/>
    <w:rsid w:val="00B03EBB"/>
    <w:rsid w:val="00B06453"/>
    <w:rsid w:val="00B07034"/>
    <w:rsid w:val="00B142B6"/>
    <w:rsid w:val="00B142E3"/>
    <w:rsid w:val="00B14FF5"/>
    <w:rsid w:val="00B16B29"/>
    <w:rsid w:val="00B16CF5"/>
    <w:rsid w:val="00B2193D"/>
    <w:rsid w:val="00B21CE0"/>
    <w:rsid w:val="00B24059"/>
    <w:rsid w:val="00B27DE5"/>
    <w:rsid w:val="00B301BA"/>
    <w:rsid w:val="00B3203E"/>
    <w:rsid w:val="00B33485"/>
    <w:rsid w:val="00B34A61"/>
    <w:rsid w:val="00B368F4"/>
    <w:rsid w:val="00B37003"/>
    <w:rsid w:val="00B370FE"/>
    <w:rsid w:val="00B37C8D"/>
    <w:rsid w:val="00B40814"/>
    <w:rsid w:val="00B41B6E"/>
    <w:rsid w:val="00B436FE"/>
    <w:rsid w:val="00B447B0"/>
    <w:rsid w:val="00B45B21"/>
    <w:rsid w:val="00B471CF"/>
    <w:rsid w:val="00B47711"/>
    <w:rsid w:val="00B5106B"/>
    <w:rsid w:val="00B511DA"/>
    <w:rsid w:val="00B51D00"/>
    <w:rsid w:val="00B555A7"/>
    <w:rsid w:val="00B5652A"/>
    <w:rsid w:val="00B609DA"/>
    <w:rsid w:val="00B61DAF"/>
    <w:rsid w:val="00B62BB4"/>
    <w:rsid w:val="00B63226"/>
    <w:rsid w:val="00B63A5B"/>
    <w:rsid w:val="00B63F0D"/>
    <w:rsid w:val="00B64DBD"/>
    <w:rsid w:val="00B65EB6"/>
    <w:rsid w:val="00B70EEC"/>
    <w:rsid w:val="00B71B6D"/>
    <w:rsid w:val="00B72942"/>
    <w:rsid w:val="00B806A5"/>
    <w:rsid w:val="00B82FE8"/>
    <w:rsid w:val="00B83317"/>
    <w:rsid w:val="00B85B20"/>
    <w:rsid w:val="00B85E36"/>
    <w:rsid w:val="00B8637C"/>
    <w:rsid w:val="00B91118"/>
    <w:rsid w:val="00B91F9B"/>
    <w:rsid w:val="00B92712"/>
    <w:rsid w:val="00B942CB"/>
    <w:rsid w:val="00B951E2"/>
    <w:rsid w:val="00B96F2F"/>
    <w:rsid w:val="00BA318C"/>
    <w:rsid w:val="00BA43E0"/>
    <w:rsid w:val="00BA4C32"/>
    <w:rsid w:val="00BA5528"/>
    <w:rsid w:val="00BA6E89"/>
    <w:rsid w:val="00BB0084"/>
    <w:rsid w:val="00BB0CCF"/>
    <w:rsid w:val="00BB66A1"/>
    <w:rsid w:val="00BC0997"/>
    <w:rsid w:val="00BC3693"/>
    <w:rsid w:val="00BD0558"/>
    <w:rsid w:val="00BD1805"/>
    <w:rsid w:val="00BD2942"/>
    <w:rsid w:val="00BD3820"/>
    <w:rsid w:val="00BD688A"/>
    <w:rsid w:val="00BD6ADA"/>
    <w:rsid w:val="00BD6C70"/>
    <w:rsid w:val="00BD7498"/>
    <w:rsid w:val="00BD7C62"/>
    <w:rsid w:val="00BE5B42"/>
    <w:rsid w:val="00BE6A0C"/>
    <w:rsid w:val="00BF1DC4"/>
    <w:rsid w:val="00BF4BEC"/>
    <w:rsid w:val="00BF612D"/>
    <w:rsid w:val="00BF6E92"/>
    <w:rsid w:val="00C013AB"/>
    <w:rsid w:val="00C02722"/>
    <w:rsid w:val="00C04B78"/>
    <w:rsid w:val="00C054C3"/>
    <w:rsid w:val="00C068AC"/>
    <w:rsid w:val="00C07310"/>
    <w:rsid w:val="00C1084A"/>
    <w:rsid w:val="00C120D1"/>
    <w:rsid w:val="00C14185"/>
    <w:rsid w:val="00C15544"/>
    <w:rsid w:val="00C165E9"/>
    <w:rsid w:val="00C177D6"/>
    <w:rsid w:val="00C269E2"/>
    <w:rsid w:val="00C27806"/>
    <w:rsid w:val="00C313B4"/>
    <w:rsid w:val="00C32287"/>
    <w:rsid w:val="00C33782"/>
    <w:rsid w:val="00C33D01"/>
    <w:rsid w:val="00C3436F"/>
    <w:rsid w:val="00C344DD"/>
    <w:rsid w:val="00C37273"/>
    <w:rsid w:val="00C4073C"/>
    <w:rsid w:val="00C413BF"/>
    <w:rsid w:val="00C420AE"/>
    <w:rsid w:val="00C4309F"/>
    <w:rsid w:val="00C46294"/>
    <w:rsid w:val="00C4639B"/>
    <w:rsid w:val="00C475F6"/>
    <w:rsid w:val="00C509F0"/>
    <w:rsid w:val="00C50ED2"/>
    <w:rsid w:val="00C54578"/>
    <w:rsid w:val="00C547F1"/>
    <w:rsid w:val="00C5630D"/>
    <w:rsid w:val="00C61017"/>
    <w:rsid w:val="00C6120E"/>
    <w:rsid w:val="00C61431"/>
    <w:rsid w:val="00C6201B"/>
    <w:rsid w:val="00C626D0"/>
    <w:rsid w:val="00C64763"/>
    <w:rsid w:val="00C65AFD"/>
    <w:rsid w:val="00C65F29"/>
    <w:rsid w:val="00C666B6"/>
    <w:rsid w:val="00C67170"/>
    <w:rsid w:val="00C70442"/>
    <w:rsid w:val="00C71F75"/>
    <w:rsid w:val="00C72638"/>
    <w:rsid w:val="00C73208"/>
    <w:rsid w:val="00C7550B"/>
    <w:rsid w:val="00C755EC"/>
    <w:rsid w:val="00C75A2A"/>
    <w:rsid w:val="00C75D47"/>
    <w:rsid w:val="00C75D7E"/>
    <w:rsid w:val="00C77EA6"/>
    <w:rsid w:val="00C8043E"/>
    <w:rsid w:val="00C805BA"/>
    <w:rsid w:val="00C80E09"/>
    <w:rsid w:val="00C815AB"/>
    <w:rsid w:val="00C84768"/>
    <w:rsid w:val="00C85E8C"/>
    <w:rsid w:val="00C95D65"/>
    <w:rsid w:val="00C973B5"/>
    <w:rsid w:val="00C977C5"/>
    <w:rsid w:val="00CA432C"/>
    <w:rsid w:val="00CB1613"/>
    <w:rsid w:val="00CB2263"/>
    <w:rsid w:val="00CB29A2"/>
    <w:rsid w:val="00CB29C6"/>
    <w:rsid w:val="00CC1012"/>
    <w:rsid w:val="00CC3598"/>
    <w:rsid w:val="00CC512E"/>
    <w:rsid w:val="00CC5CE8"/>
    <w:rsid w:val="00CD0AED"/>
    <w:rsid w:val="00CD0FC2"/>
    <w:rsid w:val="00CD1597"/>
    <w:rsid w:val="00CD18F5"/>
    <w:rsid w:val="00CD1E1C"/>
    <w:rsid w:val="00CD24CA"/>
    <w:rsid w:val="00CD2FD0"/>
    <w:rsid w:val="00CD42B3"/>
    <w:rsid w:val="00CD4349"/>
    <w:rsid w:val="00CD4711"/>
    <w:rsid w:val="00CD4CAC"/>
    <w:rsid w:val="00CD642F"/>
    <w:rsid w:val="00CE0066"/>
    <w:rsid w:val="00CE13BC"/>
    <w:rsid w:val="00CE4D65"/>
    <w:rsid w:val="00CE534B"/>
    <w:rsid w:val="00CE5A31"/>
    <w:rsid w:val="00CE7BE6"/>
    <w:rsid w:val="00CF1C1F"/>
    <w:rsid w:val="00CF265E"/>
    <w:rsid w:val="00CF4B81"/>
    <w:rsid w:val="00D05F48"/>
    <w:rsid w:val="00D07EAC"/>
    <w:rsid w:val="00D150C0"/>
    <w:rsid w:val="00D15D52"/>
    <w:rsid w:val="00D16AFB"/>
    <w:rsid w:val="00D22D08"/>
    <w:rsid w:val="00D250D6"/>
    <w:rsid w:val="00D25EEC"/>
    <w:rsid w:val="00D26273"/>
    <w:rsid w:val="00D26ED1"/>
    <w:rsid w:val="00D30436"/>
    <w:rsid w:val="00D32164"/>
    <w:rsid w:val="00D326BD"/>
    <w:rsid w:val="00D32C4B"/>
    <w:rsid w:val="00D34158"/>
    <w:rsid w:val="00D364EE"/>
    <w:rsid w:val="00D36E52"/>
    <w:rsid w:val="00D371FF"/>
    <w:rsid w:val="00D40302"/>
    <w:rsid w:val="00D42B5F"/>
    <w:rsid w:val="00D45456"/>
    <w:rsid w:val="00D45718"/>
    <w:rsid w:val="00D465C9"/>
    <w:rsid w:val="00D475F5"/>
    <w:rsid w:val="00D477A4"/>
    <w:rsid w:val="00D502FC"/>
    <w:rsid w:val="00D50326"/>
    <w:rsid w:val="00D50FE4"/>
    <w:rsid w:val="00D52FF7"/>
    <w:rsid w:val="00D53859"/>
    <w:rsid w:val="00D53C03"/>
    <w:rsid w:val="00D53D57"/>
    <w:rsid w:val="00D546B0"/>
    <w:rsid w:val="00D548F7"/>
    <w:rsid w:val="00D57E96"/>
    <w:rsid w:val="00D60E68"/>
    <w:rsid w:val="00D62331"/>
    <w:rsid w:val="00D62516"/>
    <w:rsid w:val="00D63CDC"/>
    <w:rsid w:val="00D65184"/>
    <w:rsid w:val="00D657CB"/>
    <w:rsid w:val="00D67A93"/>
    <w:rsid w:val="00D7125A"/>
    <w:rsid w:val="00D7341A"/>
    <w:rsid w:val="00D73422"/>
    <w:rsid w:val="00D745AB"/>
    <w:rsid w:val="00D82C36"/>
    <w:rsid w:val="00D836C3"/>
    <w:rsid w:val="00D86263"/>
    <w:rsid w:val="00D866CF"/>
    <w:rsid w:val="00D925E2"/>
    <w:rsid w:val="00D926F2"/>
    <w:rsid w:val="00D934E0"/>
    <w:rsid w:val="00D94403"/>
    <w:rsid w:val="00D94EEB"/>
    <w:rsid w:val="00D954B0"/>
    <w:rsid w:val="00D97000"/>
    <w:rsid w:val="00DA16D9"/>
    <w:rsid w:val="00DA19ED"/>
    <w:rsid w:val="00DA3480"/>
    <w:rsid w:val="00DA3592"/>
    <w:rsid w:val="00DA43E2"/>
    <w:rsid w:val="00DA4DD3"/>
    <w:rsid w:val="00DA4F9B"/>
    <w:rsid w:val="00DA57B2"/>
    <w:rsid w:val="00DA7BF9"/>
    <w:rsid w:val="00DB2D0F"/>
    <w:rsid w:val="00DB302A"/>
    <w:rsid w:val="00DB3066"/>
    <w:rsid w:val="00DB4342"/>
    <w:rsid w:val="00DB4869"/>
    <w:rsid w:val="00DB5BD1"/>
    <w:rsid w:val="00DB7169"/>
    <w:rsid w:val="00DC0BE5"/>
    <w:rsid w:val="00DC0F57"/>
    <w:rsid w:val="00DC2CA5"/>
    <w:rsid w:val="00DC3619"/>
    <w:rsid w:val="00DC414E"/>
    <w:rsid w:val="00DC4A6F"/>
    <w:rsid w:val="00DC561D"/>
    <w:rsid w:val="00DC60C6"/>
    <w:rsid w:val="00DC71CC"/>
    <w:rsid w:val="00DD0130"/>
    <w:rsid w:val="00DD038E"/>
    <w:rsid w:val="00DD324E"/>
    <w:rsid w:val="00DD3C21"/>
    <w:rsid w:val="00DD4BD8"/>
    <w:rsid w:val="00DD5935"/>
    <w:rsid w:val="00DD5D48"/>
    <w:rsid w:val="00DE0DA5"/>
    <w:rsid w:val="00DE1931"/>
    <w:rsid w:val="00DE1976"/>
    <w:rsid w:val="00DE1BBC"/>
    <w:rsid w:val="00DE30F1"/>
    <w:rsid w:val="00DE353A"/>
    <w:rsid w:val="00DE35C5"/>
    <w:rsid w:val="00DE3E6B"/>
    <w:rsid w:val="00DE4208"/>
    <w:rsid w:val="00DE4C55"/>
    <w:rsid w:val="00DE599F"/>
    <w:rsid w:val="00DE72A6"/>
    <w:rsid w:val="00DF00B0"/>
    <w:rsid w:val="00DF37C8"/>
    <w:rsid w:val="00DF3E64"/>
    <w:rsid w:val="00DF5269"/>
    <w:rsid w:val="00DF73AC"/>
    <w:rsid w:val="00DF7E83"/>
    <w:rsid w:val="00E00140"/>
    <w:rsid w:val="00E00358"/>
    <w:rsid w:val="00E005BE"/>
    <w:rsid w:val="00E00CDF"/>
    <w:rsid w:val="00E02432"/>
    <w:rsid w:val="00E0290A"/>
    <w:rsid w:val="00E03F83"/>
    <w:rsid w:val="00E06725"/>
    <w:rsid w:val="00E1399C"/>
    <w:rsid w:val="00E13E29"/>
    <w:rsid w:val="00E16BC7"/>
    <w:rsid w:val="00E20302"/>
    <w:rsid w:val="00E22DB2"/>
    <w:rsid w:val="00E22DE3"/>
    <w:rsid w:val="00E22FBC"/>
    <w:rsid w:val="00E247DD"/>
    <w:rsid w:val="00E26B4A"/>
    <w:rsid w:val="00E2721B"/>
    <w:rsid w:val="00E27C97"/>
    <w:rsid w:val="00E30842"/>
    <w:rsid w:val="00E32F5F"/>
    <w:rsid w:val="00E32F67"/>
    <w:rsid w:val="00E342B6"/>
    <w:rsid w:val="00E366CE"/>
    <w:rsid w:val="00E36853"/>
    <w:rsid w:val="00E40853"/>
    <w:rsid w:val="00E41660"/>
    <w:rsid w:val="00E44276"/>
    <w:rsid w:val="00E44A59"/>
    <w:rsid w:val="00E46707"/>
    <w:rsid w:val="00E4694B"/>
    <w:rsid w:val="00E5022F"/>
    <w:rsid w:val="00E525B4"/>
    <w:rsid w:val="00E528E2"/>
    <w:rsid w:val="00E53DD5"/>
    <w:rsid w:val="00E55C0B"/>
    <w:rsid w:val="00E55D18"/>
    <w:rsid w:val="00E57454"/>
    <w:rsid w:val="00E6080F"/>
    <w:rsid w:val="00E61F63"/>
    <w:rsid w:val="00E63C52"/>
    <w:rsid w:val="00E645AB"/>
    <w:rsid w:val="00E67390"/>
    <w:rsid w:val="00E67890"/>
    <w:rsid w:val="00E702B6"/>
    <w:rsid w:val="00E71E1B"/>
    <w:rsid w:val="00E74019"/>
    <w:rsid w:val="00E75BE4"/>
    <w:rsid w:val="00E75DC6"/>
    <w:rsid w:val="00E76B62"/>
    <w:rsid w:val="00E7708A"/>
    <w:rsid w:val="00E8319F"/>
    <w:rsid w:val="00E85966"/>
    <w:rsid w:val="00E86A7A"/>
    <w:rsid w:val="00E92CB5"/>
    <w:rsid w:val="00E931B3"/>
    <w:rsid w:val="00E94AC2"/>
    <w:rsid w:val="00E957EA"/>
    <w:rsid w:val="00E96877"/>
    <w:rsid w:val="00E97A57"/>
    <w:rsid w:val="00E97E88"/>
    <w:rsid w:val="00EA09D9"/>
    <w:rsid w:val="00EA1847"/>
    <w:rsid w:val="00EA30DB"/>
    <w:rsid w:val="00EA4580"/>
    <w:rsid w:val="00EA5A5C"/>
    <w:rsid w:val="00EA5C61"/>
    <w:rsid w:val="00EA60BC"/>
    <w:rsid w:val="00EA67B9"/>
    <w:rsid w:val="00EA7994"/>
    <w:rsid w:val="00EA7CB0"/>
    <w:rsid w:val="00EB0AFC"/>
    <w:rsid w:val="00EB143D"/>
    <w:rsid w:val="00EB15D3"/>
    <w:rsid w:val="00EB233B"/>
    <w:rsid w:val="00EB2545"/>
    <w:rsid w:val="00EB5562"/>
    <w:rsid w:val="00EB6008"/>
    <w:rsid w:val="00EC02CD"/>
    <w:rsid w:val="00EC0C57"/>
    <w:rsid w:val="00EC1829"/>
    <w:rsid w:val="00EC26BD"/>
    <w:rsid w:val="00EC2A79"/>
    <w:rsid w:val="00EC58EB"/>
    <w:rsid w:val="00EC7EC9"/>
    <w:rsid w:val="00ED0425"/>
    <w:rsid w:val="00ED0DE5"/>
    <w:rsid w:val="00ED3BC0"/>
    <w:rsid w:val="00ED4427"/>
    <w:rsid w:val="00ED50E5"/>
    <w:rsid w:val="00ED6F16"/>
    <w:rsid w:val="00ED71D6"/>
    <w:rsid w:val="00EE06FD"/>
    <w:rsid w:val="00EE17F4"/>
    <w:rsid w:val="00EE3280"/>
    <w:rsid w:val="00EE4A17"/>
    <w:rsid w:val="00EE597E"/>
    <w:rsid w:val="00EE5E8B"/>
    <w:rsid w:val="00EE67A9"/>
    <w:rsid w:val="00EF2FAF"/>
    <w:rsid w:val="00EF3405"/>
    <w:rsid w:val="00EF4B13"/>
    <w:rsid w:val="00EF6220"/>
    <w:rsid w:val="00EF76DD"/>
    <w:rsid w:val="00F029E9"/>
    <w:rsid w:val="00F040B6"/>
    <w:rsid w:val="00F04956"/>
    <w:rsid w:val="00F05146"/>
    <w:rsid w:val="00F05B45"/>
    <w:rsid w:val="00F06576"/>
    <w:rsid w:val="00F071E3"/>
    <w:rsid w:val="00F1152C"/>
    <w:rsid w:val="00F12863"/>
    <w:rsid w:val="00F13214"/>
    <w:rsid w:val="00F144E1"/>
    <w:rsid w:val="00F159CA"/>
    <w:rsid w:val="00F20455"/>
    <w:rsid w:val="00F20FEE"/>
    <w:rsid w:val="00F21147"/>
    <w:rsid w:val="00F21321"/>
    <w:rsid w:val="00F21493"/>
    <w:rsid w:val="00F21FE8"/>
    <w:rsid w:val="00F221ED"/>
    <w:rsid w:val="00F22C53"/>
    <w:rsid w:val="00F234CB"/>
    <w:rsid w:val="00F2655B"/>
    <w:rsid w:val="00F265F6"/>
    <w:rsid w:val="00F30036"/>
    <w:rsid w:val="00F30A2F"/>
    <w:rsid w:val="00F319E8"/>
    <w:rsid w:val="00F32188"/>
    <w:rsid w:val="00F35943"/>
    <w:rsid w:val="00F35D2E"/>
    <w:rsid w:val="00F37C82"/>
    <w:rsid w:val="00F4131A"/>
    <w:rsid w:val="00F45323"/>
    <w:rsid w:val="00F46522"/>
    <w:rsid w:val="00F53257"/>
    <w:rsid w:val="00F55BF7"/>
    <w:rsid w:val="00F56FAC"/>
    <w:rsid w:val="00F60BA8"/>
    <w:rsid w:val="00F6141C"/>
    <w:rsid w:val="00F61EDE"/>
    <w:rsid w:val="00F62C19"/>
    <w:rsid w:val="00F64281"/>
    <w:rsid w:val="00F65620"/>
    <w:rsid w:val="00F658DD"/>
    <w:rsid w:val="00F66A5A"/>
    <w:rsid w:val="00F7126B"/>
    <w:rsid w:val="00F757FD"/>
    <w:rsid w:val="00F80E45"/>
    <w:rsid w:val="00F81FE5"/>
    <w:rsid w:val="00F82235"/>
    <w:rsid w:val="00F82787"/>
    <w:rsid w:val="00F8280A"/>
    <w:rsid w:val="00F829B7"/>
    <w:rsid w:val="00F86922"/>
    <w:rsid w:val="00F87980"/>
    <w:rsid w:val="00F903FF"/>
    <w:rsid w:val="00F9056C"/>
    <w:rsid w:val="00F9181C"/>
    <w:rsid w:val="00F91E62"/>
    <w:rsid w:val="00F9299C"/>
    <w:rsid w:val="00F93BF5"/>
    <w:rsid w:val="00F94C9B"/>
    <w:rsid w:val="00FA029B"/>
    <w:rsid w:val="00FA0E97"/>
    <w:rsid w:val="00FA16CB"/>
    <w:rsid w:val="00FA1EF2"/>
    <w:rsid w:val="00FA3CF5"/>
    <w:rsid w:val="00FA5A1B"/>
    <w:rsid w:val="00FA5CA3"/>
    <w:rsid w:val="00FA6BBD"/>
    <w:rsid w:val="00FA6E65"/>
    <w:rsid w:val="00FA7326"/>
    <w:rsid w:val="00FB30AB"/>
    <w:rsid w:val="00FB564B"/>
    <w:rsid w:val="00FB7284"/>
    <w:rsid w:val="00FC0A56"/>
    <w:rsid w:val="00FC333B"/>
    <w:rsid w:val="00FC37C8"/>
    <w:rsid w:val="00FC46B1"/>
    <w:rsid w:val="00FC4BCC"/>
    <w:rsid w:val="00FC635C"/>
    <w:rsid w:val="00FC6F7A"/>
    <w:rsid w:val="00FD2B5A"/>
    <w:rsid w:val="00FD3002"/>
    <w:rsid w:val="00FD4343"/>
    <w:rsid w:val="00FD66D3"/>
    <w:rsid w:val="00FD68FB"/>
    <w:rsid w:val="00FD6F38"/>
    <w:rsid w:val="00FD74BB"/>
    <w:rsid w:val="00FD7F32"/>
    <w:rsid w:val="00FE0292"/>
    <w:rsid w:val="00FE03C7"/>
    <w:rsid w:val="00FE1A79"/>
    <w:rsid w:val="00FE1D61"/>
    <w:rsid w:val="00FE2D75"/>
    <w:rsid w:val="00FE336A"/>
    <w:rsid w:val="00FE4F3A"/>
    <w:rsid w:val="00FE50B5"/>
    <w:rsid w:val="00FF0A52"/>
    <w:rsid w:val="00FF2E5C"/>
    <w:rsid w:val="00FF3676"/>
    <w:rsid w:val="00FF44A7"/>
    <w:rsid w:val="00FF504B"/>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7E42"/>
  <w15:docId w15:val="{FC5C29FC-4472-4E0D-BDD2-8043BF3A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D5"/>
    <w:rPr>
      <w:rFonts w:ascii="Tahoma" w:hAnsi="Tahoma" w:cs="Tahoma"/>
      <w:sz w:val="16"/>
      <w:szCs w:val="16"/>
    </w:rPr>
  </w:style>
  <w:style w:type="paragraph" w:styleId="Header">
    <w:name w:val="header"/>
    <w:basedOn w:val="Normal"/>
    <w:link w:val="HeaderChar"/>
    <w:uiPriority w:val="99"/>
    <w:unhideWhenUsed/>
    <w:rsid w:val="00943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D5"/>
  </w:style>
  <w:style w:type="paragraph" w:styleId="Footer">
    <w:name w:val="footer"/>
    <w:basedOn w:val="Normal"/>
    <w:link w:val="FooterChar"/>
    <w:uiPriority w:val="99"/>
    <w:unhideWhenUsed/>
    <w:rsid w:val="00943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D5"/>
  </w:style>
  <w:style w:type="paragraph" w:styleId="ListParagraph">
    <w:name w:val="List Paragraph"/>
    <w:aliases w:val="List - Bullets,Bullet 1,Bullet Points,Colorful List - Accent 11,Dot pt,F5 List Paragraph,Indicator Text,L,List Paragraph Char Char Char,List Paragraph1,List Paragraph11,List Paragraph12,MAIN CONTENT,No Spacing1,Normal numbered,OBC Bullet"/>
    <w:basedOn w:val="Normal"/>
    <w:link w:val="ListParagraphChar"/>
    <w:uiPriority w:val="34"/>
    <w:qFormat/>
    <w:rsid w:val="00176D22"/>
    <w:pPr>
      <w:ind w:left="720"/>
      <w:contextualSpacing/>
    </w:pPr>
  </w:style>
  <w:style w:type="character" w:styleId="Hyperlink">
    <w:name w:val="Hyperlink"/>
    <w:basedOn w:val="DefaultParagraphFont"/>
    <w:uiPriority w:val="99"/>
    <w:unhideWhenUsed/>
    <w:rsid w:val="00083F23"/>
    <w:rPr>
      <w:color w:val="0000FF" w:themeColor="hyperlink"/>
      <w:u w:val="single"/>
    </w:rPr>
  </w:style>
  <w:style w:type="character" w:styleId="FollowedHyperlink">
    <w:name w:val="FollowedHyperlink"/>
    <w:basedOn w:val="DefaultParagraphFont"/>
    <w:uiPriority w:val="99"/>
    <w:semiHidden/>
    <w:unhideWhenUsed/>
    <w:rsid w:val="00FE03C7"/>
    <w:rPr>
      <w:color w:val="800080" w:themeColor="followedHyperlink"/>
      <w:u w:val="single"/>
    </w:rPr>
  </w:style>
  <w:style w:type="paragraph" w:styleId="FootnoteText">
    <w:name w:val="footnote text"/>
    <w:aliases w:val="Footnote Text Char2 Char,Footnote Text Char Char1 Char,Footnote Text Char1 Char Char Char,Footnote Text Char Char Char Char Char,Footnote Text Char2 Char1 Char Char Char Char,5_G,Char,FA Fu,Thesis Footnote Text,Footnote Text Cha, Char"/>
    <w:basedOn w:val="Normal"/>
    <w:link w:val="FootnoteTextChar"/>
    <w:uiPriority w:val="99"/>
    <w:qFormat/>
    <w:rsid w:val="00E525B4"/>
    <w:rPr>
      <w:rFonts w:ascii="Calibri" w:eastAsia="Calibri" w:hAnsi="Calibri" w:cs="Calibri"/>
      <w:sz w:val="20"/>
      <w:szCs w:val="20"/>
      <w:lang w:val="en-US"/>
    </w:rPr>
  </w:style>
  <w:style w:type="character" w:customStyle="1" w:styleId="FootnoteTextChar">
    <w:name w:val="Footnote Text Char"/>
    <w:aliases w:val="Footnote Text Char2 Char Char,Footnote Text Char Char1 Char Char,Footnote Text Char1 Char Char Char Char,Footnote Text Char Char Char Char Char Char,Footnote Text Char2 Char1 Char Char Char Char Char,5_G Char,Char Char,FA Fu Char"/>
    <w:basedOn w:val="DefaultParagraphFont"/>
    <w:link w:val="FootnoteText"/>
    <w:uiPriority w:val="99"/>
    <w:rsid w:val="00E525B4"/>
    <w:rPr>
      <w:rFonts w:ascii="Calibri" w:eastAsia="Calibri" w:hAnsi="Calibri" w:cs="Calibri"/>
      <w:sz w:val="20"/>
      <w:szCs w:val="20"/>
      <w:lang w:val="en-US"/>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qFormat/>
    <w:rsid w:val="00E525B4"/>
    <w:rPr>
      <w:vertAlign w:val="superscript"/>
    </w:rPr>
  </w:style>
  <w:style w:type="paragraph" w:styleId="NormalWeb">
    <w:name w:val="Normal (Web)"/>
    <w:basedOn w:val="Normal"/>
    <w:uiPriority w:val="99"/>
    <w:rsid w:val="00E52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Indent">
    <w:name w:val="Normal Indent"/>
    <w:basedOn w:val="Normal"/>
    <w:rsid w:val="00E525B4"/>
    <w:pPr>
      <w:spacing w:after="0" w:line="240" w:lineRule="auto"/>
      <w:ind w:left="720"/>
    </w:pPr>
    <w:rPr>
      <w:rFonts w:ascii="Arial" w:eastAsia="Times New Roman" w:hAnsi="Arial" w:cs="Times New Roman"/>
      <w:sz w:val="24"/>
      <w:szCs w:val="20"/>
    </w:rPr>
  </w:style>
  <w:style w:type="paragraph" w:styleId="BodyTextIndent3">
    <w:name w:val="Body Text Indent 3"/>
    <w:basedOn w:val="Normal"/>
    <w:link w:val="BodyTextIndent3Char"/>
    <w:rsid w:val="00E525B4"/>
    <w:pPr>
      <w:spacing w:after="0" w:line="240" w:lineRule="auto"/>
      <w:ind w:left="720" w:hanging="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525B4"/>
    <w:rPr>
      <w:rFonts w:ascii="Arial" w:eastAsia="Times New Roman" w:hAnsi="Arial" w:cs="Times New Roman"/>
      <w:sz w:val="24"/>
      <w:szCs w:val="20"/>
    </w:rPr>
  </w:style>
  <w:style w:type="paragraph" w:customStyle="1" w:styleId="article-box-heading3">
    <w:name w:val="article-box-heading3"/>
    <w:basedOn w:val="Normal"/>
    <w:rsid w:val="00E525B4"/>
    <w:pPr>
      <w:spacing w:before="100" w:beforeAutospacing="1" w:after="180" w:line="240" w:lineRule="auto"/>
    </w:pPr>
    <w:rPr>
      <w:rFonts w:ascii="Times New Roman" w:hAnsi="Times New Roman" w:cs="Times New Roman"/>
      <w:sz w:val="21"/>
      <w:szCs w:val="21"/>
      <w:lang w:eastAsia="en-GB"/>
    </w:rPr>
  </w:style>
  <w:style w:type="table" w:styleId="TableGrid">
    <w:name w:val="Table Grid"/>
    <w:basedOn w:val="TableNormal"/>
    <w:rsid w:val="00E5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DefaultParagraphFont"/>
    <w:rsid w:val="00F234CB"/>
  </w:style>
  <w:style w:type="character" w:styleId="Strong">
    <w:name w:val="Strong"/>
    <w:basedOn w:val="DefaultParagraphFont"/>
    <w:uiPriority w:val="22"/>
    <w:qFormat/>
    <w:rsid w:val="00FC333B"/>
    <w:rPr>
      <w:b/>
      <w:bCs/>
    </w:rPr>
  </w:style>
  <w:style w:type="character" w:customStyle="1" w:styleId="ListParagraphChar">
    <w:name w:val="List Paragraph Char"/>
    <w:aliases w:val="List - Bullets Char,Bullet 1 Char,Bullet Points Char,Colorful List - Accent 11 Char,Dot pt Char,F5 List Paragraph Char,Indicator Text Char,L Char,List Paragraph Char Char Char Char,List Paragraph1 Char,List Paragraph11 Char"/>
    <w:link w:val="ListParagraph"/>
    <w:uiPriority w:val="34"/>
    <w:rsid w:val="005C399D"/>
  </w:style>
  <w:style w:type="paragraph" w:customStyle="1" w:styleId="Char2">
    <w:name w:val="Char2"/>
    <w:basedOn w:val="Normal"/>
    <w:link w:val="FootnoteReference"/>
    <w:uiPriority w:val="99"/>
    <w:rsid w:val="00F029E9"/>
    <w:pPr>
      <w:spacing w:after="160" w:line="240" w:lineRule="exact"/>
      <w:jc w:val="both"/>
    </w:pPr>
    <w:rPr>
      <w:vertAlign w:val="superscript"/>
    </w:rPr>
  </w:style>
  <w:style w:type="paragraph" w:customStyle="1" w:styleId="Bodycopy">
    <w:name w:val="Body copy"/>
    <w:basedOn w:val="Normal"/>
    <w:qFormat/>
    <w:rsid w:val="0018030C"/>
    <w:pPr>
      <w:keepNext/>
      <w:autoSpaceDE w:val="0"/>
      <w:autoSpaceDN w:val="0"/>
      <w:adjustRightInd w:val="0"/>
      <w:spacing w:after="0" w:line="240" w:lineRule="auto"/>
      <w:textAlignment w:val="center"/>
    </w:pPr>
    <w:rPr>
      <w:rFonts w:ascii="Helvetica Now Text Light" w:hAnsi="Helvetica Now Text Light" w:cs="Minion Pro"/>
      <w:color w:val="000000"/>
      <w:sz w:val="20"/>
      <w:szCs w:val="20"/>
    </w:rPr>
  </w:style>
  <w:style w:type="paragraph" w:styleId="NoSpacing">
    <w:name w:val="No Spacing"/>
    <w:uiPriority w:val="1"/>
    <w:qFormat/>
    <w:rsid w:val="00863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2434">
      <w:bodyDiv w:val="1"/>
      <w:marLeft w:val="0"/>
      <w:marRight w:val="0"/>
      <w:marTop w:val="0"/>
      <w:marBottom w:val="0"/>
      <w:divBdr>
        <w:top w:val="none" w:sz="0" w:space="0" w:color="auto"/>
        <w:left w:val="none" w:sz="0" w:space="0" w:color="auto"/>
        <w:bottom w:val="none" w:sz="0" w:space="0" w:color="auto"/>
        <w:right w:val="none" w:sz="0" w:space="0" w:color="auto"/>
      </w:divBdr>
    </w:div>
    <w:div w:id="979924248">
      <w:bodyDiv w:val="1"/>
      <w:marLeft w:val="0"/>
      <w:marRight w:val="0"/>
      <w:marTop w:val="0"/>
      <w:marBottom w:val="0"/>
      <w:divBdr>
        <w:top w:val="none" w:sz="0" w:space="0" w:color="auto"/>
        <w:left w:val="none" w:sz="0" w:space="0" w:color="auto"/>
        <w:bottom w:val="none" w:sz="0" w:space="0" w:color="auto"/>
        <w:right w:val="none" w:sz="0" w:space="0" w:color="auto"/>
      </w:divBdr>
    </w:div>
    <w:div w:id="17755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ubmitter xmlns="0407cb39-f0df-464b-984a-452f2efb42d7" xsi:nil="true"/>
    <Approver xmlns="0407cb39-f0df-464b-984a-452f2efb42d7" xsi:nil="true"/>
    <Date_x0020_Approved xmlns="d9ac4040-ac3d-4497-8d9a-cdc3efa4f0f1" xsi:nil="true"/>
    <UNISON_x0020_Target_x0020_URL xmlns="d9ac4040-ac3d-4497-8d9a-cdc3efa4f0f1">
      <Url xsi:nil="true"/>
      <Description xsi:nil="true"/>
    </UNISON_x0020_Target_x0020_URL>
    <Approved_x0020_Version xmlns="d9ac4040-ac3d-4497-8d9a-cdc3efa4f0f1" xsi:nil="true"/>
    <Date_x0020_Submitted xmlns="d9ac4040-ac3d-4497-8d9a-cdc3efa4f0f1" xsi:nil="true"/>
    <UNISON_x0020_Source_x0020_URL xmlns="d9ac4040-ac3d-4497-8d9a-cdc3efa4f0f1">
      <Url xsi:nil="true"/>
      <Description xsi:nil="true"/>
    </UNISON_x0020_Source_x0020_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FE6A52EA84B2744A92197CFEABD6364F030037BC81FE15F53846BBE56B8B0B98756F" ma:contentTypeVersion="17" ma:contentTypeDescription="Create a new Word Document" ma:contentTypeScope="" ma:versionID="766e6001bbbd9af3512f6f13562256f6">
  <xsd:schema xmlns:xsd="http://www.w3.org/2001/XMLSchema" xmlns:xs="http://www.w3.org/2001/XMLSchema" xmlns:p="http://schemas.microsoft.com/office/2006/metadata/properties" xmlns:ns2="d9ac4040-ac3d-4497-8d9a-cdc3efa4f0f1" xmlns:ns3="0407cb39-f0df-464b-984a-452f2efb42d7" targetNamespace="http://schemas.microsoft.com/office/2006/metadata/properties" ma:root="true" ma:fieldsID="aec297a880a4b9c20640e1333d481ae6" ns2:_="" ns3:_="">
    <xsd:import namespace="d9ac4040-ac3d-4497-8d9a-cdc3efa4f0f1"/>
    <xsd:import namespace="0407cb39-f0df-464b-984a-452f2efb42d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c4040-ac3d-4497-8d9a-cdc3efa4f0f1" elementFormDefault="qualified">
    <xsd:import namespace="http://schemas.microsoft.com/office/2006/documentManagement/types"/>
    <xsd:import namespace="http://schemas.microsoft.com/office/infopath/2007/PartnerControls"/>
    <xsd:element name="Approved_x0020_Version" ma:index="8" nillable="true" ma:displayName="Approved Version" ma:hidden="true" ma:internalName="Approved_x0020_Version" ma:readOnly="false">
      <xsd:simpleType>
        <xsd:restriction base="dms:Note"/>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UNISON_x0020_Source_x0020_URL" ma:index="13"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7cb39-f0df-464b-984a-452f2efb42d7" elementFormDefault="qualified">
    <xsd:import namespace="http://schemas.microsoft.com/office/2006/documentManagement/types"/>
    <xsd:import namespace="http://schemas.microsoft.com/office/infopath/2007/PartnerControls"/>
    <xsd:element name="Approver" ma:index="9" nillable="true" ma:displayName="Approver" ma:hidden="true" ma:internalName="Approver" ma:readOnly="false">
      <xsd:simpleType>
        <xsd:restriction base="dms:Text"/>
      </xsd:simpleType>
    </xsd:element>
    <xsd:element name="Submitter" ma:index="12"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12F1974-C985-40AE-8B6A-6CB55BD58960}">
  <ds:schemaRefs>
    <ds:schemaRef ds:uri="http://schemas.openxmlformats.org/officeDocument/2006/bibliography"/>
  </ds:schemaRefs>
</ds:datastoreItem>
</file>

<file path=customXml/itemProps2.xml><?xml version="1.0" encoding="utf-8"?>
<ds:datastoreItem xmlns:ds="http://schemas.openxmlformats.org/officeDocument/2006/customXml" ds:itemID="{43D1B5EE-8A37-4D59-A3EE-4811AF234253}">
  <ds:schemaRefs>
    <ds:schemaRef ds:uri="http://schemas.microsoft.com/office/2006/metadata/customXsn"/>
  </ds:schemaRefs>
</ds:datastoreItem>
</file>

<file path=customXml/itemProps3.xml><?xml version="1.0" encoding="utf-8"?>
<ds:datastoreItem xmlns:ds="http://schemas.openxmlformats.org/officeDocument/2006/customXml" ds:itemID="{49801B69-145D-4AA0-B689-3C1B2F6492A3}">
  <ds:schemaRefs>
    <ds:schemaRef ds:uri="http://schemas.microsoft.com/office/2006/metadata/properties"/>
    <ds:schemaRef ds:uri="http://schemas.microsoft.com/office/infopath/2007/PartnerControls"/>
    <ds:schemaRef ds:uri="0407cb39-f0df-464b-984a-452f2efb42d7"/>
    <ds:schemaRef ds:uri="d9ac4040-ac3d-4497-8d9a-cdc3efa4f0f1"/>
  </ds:schemaRefs>
</ds:datastoreItem>
</file>

<file path=customXml/itemProps4.xml><?xml version="1.0" encoding="utf-8"?>
<ds:datastoreItem xmlns:ds="http://schemas.openxmlformats.org/officeDocument/2006/customXml" ds:itemID="{9258720D-DD51-4352-B82C-6E9375C75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c4040-ac3d-4497-8d9a-cdc3efa4f0f1"/>
    <ds:schemaRef ds:uri="0407cb39-f0df-464b-984a-452f2efb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D78718-976C-4319-A8B0-F83B8549E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Hoskin, Graeme</cp:lastModifiedBy>
  <cp:revision>2</cp:revision>
  <cp:lastPrinted>2023-04-28T09:37:00Z</cp:lastPrinted>
  <dcterms:created xsi:type="dcterms:W3CDTF">2023-08-14T10:02:00Z</dcterms:created>
  <dcterms:modified xsi:type="dcterms:W3CDTF">2023-08-14T10:02:00Z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0x010100FE6A52EA84B2744A92197CFEABD6364F030037BC81FE15F53846BBE56B8B0B98756F</vt:lpwstr>
  </property>
  <property fmtid="{D5CDD505-2E9C-101B-9397-08002B2CF9AE}" pid="3" name="_dlc_DocIdItemGuid">
    <vt:lpwstr>5c9cd799-460f-4249-8f24-ac19ed07d9dd</vt:lpwstr>
  </property>
</Properties>
</file>