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EDB3" w14:textId="1268BDE0" w:rsidR="006A51B7" w:rsidRPr="00040DF1" w:rsidRDefault="006241B4" w:rsidP="00040DF1">
      <w:pPr>
        <w:pStyle w:val="H1"/>
      </w:pPr>
      <w:r w:rsidRPr="00AF4709">
        <w:t>Reform of the Gender Recognition Act</w:t>
      </w:r>
    </w:p>
    <w:p w14:paraId="1590EDB4" w14:textId="06BA937E" w:rsidR="00040DF1" w:rsidRPr="00040DF1" w:rsidRDefault="00BD37C4" w:rsidP="00040DF1">
      <w:pPr>
        <w:pStyle w:val="H2"/>
      </w:pPr>
      <w:r w:rsidRPr="00AF4709">
        <w:t>Introduction</w:t>
      </w:r>
    </w:p>
    <w:p w14:paraId="746AE3F9" w14:textId="18077759" w:rsidR="00EF4FE0" w:rsidRDefault="00EF4FE0" w:rsidP="00EF4FE0">
      <w:pPr>
        <w:spacing w:line="276" w:lineRule="auto"/>
        <w:rPr>
          <w:rFonts w:ascii="Arial" w:eastAsia="Times New Roman" w:hAnsi="Arial" w:cs="Arial"/>
          <w:szCs w:val="22"/>
        </w:rPr>
      </w:pPr>
      <w:r w:rsidRPr="00AF4709">
        <w:rPr>
          <w:rFonts w:ascii="Arial" w:eastAsia="Times New Roman" w:hAnsi="Arial" w:cs="Arial"/>
          <w:szCs w:val="22"/>
        </w:rPr>
        <w:t xml:space="preserve">The Westminster </w:t>
      </w:r>
      <w:r w:rsidR="0078189E">
        <w:rPr>
          <w:rFonts w:ascii="Arial" w:eastAsia="Times New Roman" w:hAnsi="Arial" w:cs="Arial"/>
          <w:szCs w:val="22"/>
        </w:rPr>
        <w:t>G</w:t>
      </w:r>
      <w:r w:rsidRPr="00AF4709">
        <w:rPr>
          <w:rFonts w:ascii="Arial" w:eastAsia="Times New Roman" w:hAnsi="Arial" w:cs="Arial"/>
          <w:szCs w:val="22"/>
        </w:rPr>
        <w:t xml:space="preserve">overnment consultation on reforming the 2004 Gender Recognition Act (GRA) took place </w:t>
      </w:r>
      <w:r>
        <w:rPr>
          <w:rFonts w:ascii="Arial" w:eastAsia="Times New Roman" w:hAnsi="Arial" w:cs="Arial"/>
          <w:szCs w:val="22"/>
        </w:rPr>
        <w:t>in 2018</w:t>
      </w:r>
      <w:r w:rsidRPr="00AF4709">
        <w:rPr>
          <w:rFonts w:ascii="Arial" w:eastAsia="Times New Roman" w:hAnsi="Arial" w:cs="Arial"/>
          <w:szCs w:val="22"/>
        </w:rPr>
        <w:t xml:space="preserve">, </w:t>
      </w:r>
      <w:r>
        <w:rPr>
          <w:rFonts w:ascii="Arial" w:eastAsia="Times New Roman" w:hAnsi="Arial" w:cs="Arial"/>
          <w:szCs w:val="22"/>
        </w:rPr>
        <w:t xml:space="preserve">with </w:t>
      </w:r>
      <w:r w:rsidRPr="00AF4709">
        <w:rPr>
          <w:rFonts w:ascii="Arial" w:eastAsia="Times New Roman" w:hAnsi="Arial" w:cs="Arial"/>
          <w:szCs w:val="22"/>
        </w:rPr>
        <w:t>the results of the consultation released</w:t>
      </w:r>
      <w:r>
        <w:rPr>
          <w:rFonts w:ascii="Arial" w:eastAsia="Times New Roman" w:hAnsi="Arial" w:cs="Arial"/>
          <w:szCs w:val="22"/>
        </w:rPr>
        <w:t xml:space="preserve"> in September 2020</w:t>
      </w:r>
      <w:r w:rsidRPr="00AF4709">
        <w:rPr>
          <w:rFonts w:ascii="Arial" w:eastAsia="Times New Roman" w:hAnsi="Arial" w:cs="Arial"/>
          <w:szCs w:val="22"/>
        </w:rPr>
        <w:t xml:space="preserve">.  </w:t>
      </w:r>
    </w:p>
    <w:p w14:paraId="43B8CCE8" w14:textId="002406E0" w:rsidR="00EF4FE0" w:rsidRDefault="00EF4FE0" w:rsidP="00EF4FE0">
      <w:pPr>
        <w:spacing w:line="276" w:lineRule="auto"/>
        <w:rPr>
          <w:rFonts w:ascii="Arial" w:eastAsia="Times New Roman" w:hAnsi="Arial" w:cs="Arial"/>
          <w:bdr w:val="none" w:sz="0" w:space="0" w:color="auto" w:frame="1"/>
          <w:lang w:eastAsia="en-GB"/>
        </w:rPr>
      </w:pPr>
      <w:r>
        <w:rPr>
          <w:rFonts w:ascii="Arial" w:eastAsia="Times New Roman" w:hAnsi="Arial" w:cs="Arial"/>
          <w:szCs w:val="22"/>
        </w:rPr>
        <w:t xml:space="preserve">Despite reports that </w:t>
      </w:r>
      <w:r w:rsidRPr="00AF4709">
        <w:rPr>
          <w:rFonts w:ascii="Arial" w:eastAsia="Times New Roman" w:hAnsi="Arial" w:cs="Arial"/>
          <w:bdr w:val="none" w:sz="0" w:space="0" w:color="auto" w:frame="1"/>
          <w:lang w:eastAsia="en-GB"/>
        </w:rPr>
        <w:t>70% of respondents to the consultation on the GRA sa</w:t>
      </w:r>
      <w:r>
        <w:rPr>
          <w:rFonts w:ascii="Arial" w:eastAsia="Times New Roman" w:hAnsi="Arial" w:cs="Arial"/>
          <w:bdr w:val="none" w:sz="0" w:space="0" w:color="auto" w:frame="1"/>
          <w:lang w:eastAsia="en-GB"/>
        </w:rPr>
        <w:t>id</w:t>
      </w:r>
      <w:r w:rsidRPr="00AF4709">
        <w:rPr>
          <w:rFonts w:ascii="Arial" w:eastAsia="Times New Roman" w:hAnsi="Arial" w:cs="Arial"/>
          <w:bdr w:val="none" w:sz="0" w:space="0" w:color="auto" w:frame="1"/>
          <w:lang w:eastAsia="en-GB"/>
        </w:rPr>
        <w:t xml:space="preserve"> that trans people should be able to self identify as a different sex</w:t>
      </w:r>
      <w:r>
        <w:rPr>
          <w:rFonts w:ascii="Arial" w:eastAsia="Times New Roman" w:hAnsi="Arial" w:cs="Arial"/>
          <w:bdr w:val="none" w:sz="0" w:space="0" w:color="auto" w:frame="1"/>
          <w:lang w:eastAsia="en-GB"/>
        </w:rPr>
        <w:t xml:space="preserve"> and that the process of obtaining a gender recognition certificate was humiliating and unnecessary, the </w:t>
      </w:r>
      <w:r w:rsidR="00D73F9D">
        <w:rPr>
          <w:rFonts w:ascii="Arial" w:eastAsia="Times New Roman" w:hAnsi="Arial" w:cs="Arial"/>
          <w:bdr w:val="none" w:sz="0" w:space="0" w:color="auto" w:frame="1"/>
          <w:lang w:eastAsia="en-GB"/>
        </w:rPr>
        <w:t>UK G</w:t>
      </w:r>
      <w:r>
        <w:rPr>
          <w:rFonts w:ascii="Arial" w:eastAsia="Times New Roman" w:hAnsi="Arial" w:cs="Arial"/>
          <w:bdr w:val="none" w:sz="0" w:space="0" w:color="auto" w:frame="1"/>
          <w:lang w:eastAsia="en-GB"/>
        </w:rPr>
        <w:t xml:space="preserve">overnment decided that the current provisions are safe and fair. </w:t>
      </w:r>
    </w:p>
    <w:p w14:paraId="2399A717" w14:textId="186847ED" w:rsidR="00EF4FE0" w:rsidRDefault="00EF4FE0" w:rsidP="00EF4FE0">
      <w:pPr>
        <w:spacing w:line="276" w:lineRule="auto"/>
        <w:rPr>
          <w:rFonts w:ascii="Arial" w:eastAsia="Times New Roman" w:hAnsi="Arial" w:cs="Arial"/>
          <w:i/>
          <w:iCs/>
          <w:bdr w:val="none" w:sz="0" w:space="0" w:color="auto" w:frame="1"/>
          <w:lang w:eastAsia="en-GB"/>
        </w:rPr>
      </w:pPr>
      <w:r>
        <w:rPr>
          <w:rFonts w:ascii="Arial" w:eastAsia="Times New Roman" w:hAnsi="Arial" w:cs="Arial"/>
          <w:bdr w:val="none" w:sz="0" w:space="0" w:color="auto" w:frame="1"/>
          <w:lang w:eastAsia="en-GB"/>
        </w:rPr>
        <w:t xml:space="preserve">The Government </w:t>
      </w:r>
      <w:r w:rsidR="0076493C">
        <w:rPr>
          <w:rFonts w:ascii="Arial" w:eastAsia="Times New Roman" w:hAnsi="Arial" w:cs="Arial"/>
          <w:bdr w:val="none" w:sz="0" w:space="0" w:color="auto" w:frame="1"/>
          <w:lang w:eastAsia="en-GB"/>
        </w:rPr>
        <w:t>has</w:t>
      </w:r>
      <w:r>
        <w:rPr>
          <w:rFonts w:ascii="Arial" w:eastAsia="Times New Roman" w:hAnsi="Arial" w:cs="Arial"/>
          <w:bdr w:val="none" w:sz="0" w:space="0" w:color="auto" w:frame="1"/>
          <w:lang w:eastAsia="en-GB"/>
        </w:rPr>
        <w:t xml:space="preserve"> move</w:t>
      </w:r>
      <w:r w:rsidR="0076493C">
        <w:rPr>
          <w:rFonts w:ascii="Arial" w:eastAsia="Times New Roman" w:hAnsi="Arial" w:cs="Arial"/>
          <w:bdr w:val="none" w:sz="0" w:space="0" w:color="auto" w:frame="1"/>
          <w:lang w:eastAsia="en-GB"/>
        </w:rPr>
        <w:t>d</w:t>
      </w:r>
      <w:r>
        <w:rPr>
          <w:rFonts w:ascii="Arial" w:eastAsia="Times New Roman" w:hAnsi="Arial" w:cs="Arial"/>
          <w:bdr w:val="none" w:sz="0" w:space="0" w:color="auto" w:frame="1"/>
          <w:lang w:eastAsia="en-GB"/>
        </w:rPr>
        <w:t xml:space="preserve"> the process of applying for a gender recognition certificate </w:t>
      </w:r>
      <w:proofErr w:type="gramStart"/>
      <w:r>
        <w:rPr>
          <w:rFonts w:ascii="Arial" w:eastAsia="Times New Roman" w:hAnsi="Arial" w:cs="Arial"/>
          <w:bdr w:val="none" w:sz="0" w:space="0" w:color="auto" w:frame="1"/>
          <w:lang w:eastAsia="en-GB"/>
        </w:rPr>
        <w:t>online, and</w:t>
      </w:r>
      <w:proofErr w:type="gramEnd"/>
      <w:r>
        <w:rPr>
          <w:rFonts w:ascii="Arial" w:eastAsia="Times New Roman" w:hAnsi="Arial" w:cs="Arial"/>
          <w:bdr w:val="none" w:sz="0" w:space="0" w:color="auto" w:frame="1"/>
          <w:lang w:eastAsia="en-GB"/>
        </w:rPr>
        <w:t xml:space="preserve"> </w:t>
      </w:r>
      <w:r w:rsidR="0078189E">
        <w:rPr>
          <w:rFonts w:ascii="Arial" w:eastAsia="Times New Roman" w:hAnsi="Arial" w:cs="Arial"/>
          <w:bdr w:val="none" w:sz="0" w:space="0" w:color="auto" w:frame="1"/>
          <w:lang w:eastAsia="en-GB"/>
        </w:rPr>
        <w:t>stated</w:t>
      </w:r>
      <w:r>
        <w:rPr>
          <w:rFonts w:ascii="Arial" w:eastAsia="Times New Roman" w:hAnsi="Arial" w:cs="Arial"/>
          <w:bdr w:val="none" w:sz="0" w:space="0" w:color="auto" w:frame="1"/>
          <w:lang w:eastAsia="en-GB"/>
        </w:rPr>
        <w:t xml:space="preserve"> that the fee would be reduced from £140 to a </w:t>
      </w:r>
      <w:r w:rsidR="0076493C" w:rsidRPr="001158EB">
        <w:rPr>
          <w:rFonts w:ascii="Arial" w:eastAsia="Times New Roman" w:hAnsi="Arial" w:cs="Arial"/>
          <w:bdr w:val="none" w:sz="0" w:space="0" w:color="auto" w:frame="1"/>
          <w:lang w:eastAsia="en-GB"/>
        </w:rPr>
        <w:t>£</w:t>
      </w:r>
      <w:r w:rsidR="001158EB" w:rsidRPr="001158EB">
        <w:rPr>
          <w:rFonts w:ascii="Arial" w:eastAsia="Times New Roman" w:hAnsi="Arial" w:cs="Arial"/>
          <w:bdr w:val="none" w:sz="0" w:space="0" w:color="auto" w:frame="1"/>
          <w:lang w:eastAsia="en-GB"/>
        </w:rPr>
        <w:t>5.</w:t>
      </w:r>
    </w:p>
    <w:p w14:paraId="58ABE9C8" w14:textId="0D65E5D0" w:rsidR="00EF4FE0" w:rsidRDefault="0076493C" w:rsidP="00EF4FE0">
      <w:pPr>
        <w:spacing w:before="100" w:beforeAutospacing="1" w:after="100" w:afterAutospacing="1"/>
      </w:pPr>
      <w:r>
        <w:rPr>
          <w:rFonts w:ascii="Arial" w:eastAsia="Times New Roman" w:hAnsi="Arial" w:cs="Arial"/>
          <w:bdr w:val="none" w:sz="0" w:space="0" w:color="auto" w:frame="1"/>
          <w:lang w:eastAsia="en-GB"/>
        </w:rPr>
        <w:t xml:space="preserve">In October 2020, </w:t>
      </w:r>
      <w:r w:rsidR="00EE3CB6" w:rsidRPr="00EE3CB6">
        <w:rPr>
          <w:rFonts w:ascii="Arial" w:eastAsia="Times New Roman" w:hAnsi="Arial" w:cs="Arial"/>
          <w:bdr w:val="none" w:sz="0" w:space="0" w:color="auto" w:frame="1"/>
          <w:lang w:eastAsia="en-GB"/>
        </w:rPr>
        <w:t>the House of Commons Women and Equalities Committee</w:t>
      </w:r>
      <w:r w:rsidR="00EE3CB6">
        <w:rPr>
          <w:rFonts w:ascii="Arial" w:eastAsia="Times New Roman" w:hAnsi="Arial" w:cs="Arial"/>
          <w:bdr w:val="none" w:sz="0" w:space="0" w:color="auto" w:frame="1"/>
          <w:lang w:eastAsia="en-GB"/>
        </w:rPr>
        <w:t xml:space="preserve"> launched</w:t>
      </w:r>
      <w:r>
        <w:rPr>
          <w:rFonts w:ascii="Arial" w:eastAsia="Times New Roman" w:hAnsi="Arial" w:cs="Arial"/>
          <w:bdr w:val="none" w:sz="0" w:space="0" w:color="auto" w:frame="1"/>
          <w:lang w:eastAsia="en-GB"/>
        </w:rPr>
        <w:t xml:space="preserve"> </w:t>
      </w:r>
      <w:r w:rsidRPr="0076493C">
        <w:rPr>
          <w:rFonts w:ascii="Arial" w:eastAsia="Times New Roman" w:hAnsi="Arial" w:cs="Arial"/>
          <w:bdr w:val="none" w:sz="0" w:space="0" w:color="auto" w:frame="1"/>
          <w:lang w:eastAsia="en-GB"/>
        </w:rPr>
        <w:t>an inquiry, Reform of the Gender Recognition Act</w:t>
      </w:r>
      <w:r w:rsidR="00EF4FE0">
        <w:rPr>
          <w:rFonts w:ascii="Arial" w:eastAsia="Times New Roman" w:hAnsi="Arial" w:cs="Arial"/>
          <w:bdr w:val="none" w:sz="0" w:space="0" w:color="auto" w:frame="1"/>
          <w:lang w:eastAsia="en-GB"/>
        </w:rPr>
        <w:t xml:space="preserve">, to </w:t>
      </w:r>
      <w:r w:rsidR="00EF4FE0" w:rsidRPr="000450FA">
        <w:rPr>
          <w:rFonts w:ascii="Arial" w:hAnsi="Arial" w:cs="Arial"/>
        </w:rPr>
        <w:t>examine whether the Government’s proposed reforms on gender recognition go far enough</w:t>
      </w:r>
      <w:r w:rsidR="00EE3CB6">
        <w:rPr>
          <w:rFonts w:ascii="Arial" w:hAnsi="Arial" w:cs="Arial"/>
        </w:rPr>
        <w:t>.</w:t>
      </w:r>
      <w:r w:rsidR="0094776A">
        <w:rPr>
          <w:rFonts w:ascii="Arial" w:hAnsi="Arial" w:cs="Arial"/>
        </w:rPr>
        <w:t xml:space="preserve"> </w:t>
      </w:r>
      <w:r w:rsidR="0094776A" w:rsidRPr="0094776A">
        <w:rPr>
          <w:rFonts w:ascii="Arial" w:hAnsi="Arial" w:cs="Arial"/>
        </w:rPr>
        <w:t xml:space="preserve">Among other </w:t>
      </w:r>
      <w:r w:rsidR="0078189E">
        <w:rPr>
          <w:rFonts w:ascii="Arial" w:hAnsi="Arial" w:cs="Arial"/>
        </w:rPr>
        <w:t>findings</w:t>
      </w:r>
      <w:r w:rsidR="0094776A" w:rsidRPr="0094776A">
        <w:rPr>
          <w:rFonts w:ascii="Arial" w:hAnsi="Arial" w:cs="Arial"/>
        </w:rPr>
        <w:t>, the Committee recommended a diagnosis of gender dysphoria should no longer be a requirement for obtaining a GRC, moving the process closer to a system of self-declaration</w:t>
      </w:r>
      <w:r w:rsidR="0094776A">
        <w:rPr>
          <w:rFonts w:ascii="Arial" w:hAnsi="Arial" w:cs="Arial"/>
        </w:rPr>
        <w:t xml:space="preserve">. </w:t>
      </w:r>
    </w:p>
    <w:p w14:paraId="563481FC" w14:textId="7A1675DF" w:rsidR="00EF4FE0" w:rsidRDefault="00EF4FE0" w:rsidP="00EF4FE0">
      <w:pPr>
        <w:spacing w:line="276" w:lineRule="auto"/>
        <w:rPr>
          <w:rFonts w:ascii="Arial" w:eastAsia="Times New Roman" w:hAnsi="Arial" w:cs="Arial"/>
          <w:szCs w:val="22"/>
        </w:rPr>
      </w:pPr>
      <w:r w:rsidRPr="00AF4709">
        <w:rPr>
          <w:rFonts w:ascii="Arial" w:eastAsia="Times New Roman" w:hAnsi="Arial" w:cs="Arial"/>
          <w:szCs w:val="22"/>
        </w:rPr>
        <w:t xml:space="preserve">UNISON made its views very clear in our response to the </w:t>
      </w:r>
      <w:r>
        <w:rPr>
          <w:rFonts w:ascii="Arial" w:eastAsia="Times New Roman" w:hAnsi="Arial" w:cs="Arial"/>
          <w:szCs w:val="22"/>
        </w:rPr>
        <w:t xml:space="preserve">original </w:t>
      </w:r>
      <w:r w:rsidRPr="00AF4709">
        <w:rPr>
          <w:rFonts w:ascii="Arial" w:eastAsia="Times New Roman" w:hAnsi="Arial" w:cs="Arial"/>
          <w:szCs w:val="22"/>
        </w:rPr>
        <w:t>consultation on the reform of the GRA. Our views have not changed.</w:t>
      </w:r>
      <w:r>
        <w:rPr>
          <w:rFonts w:ascii="Arial" w:eastAsia="Times New Roman" w:hAnsi="Arial" w:cs="Arial"/>
          <w:szCs w:val="22"/>
        </w:rPr>
        <w:t xml:space="preserve"> We welcome the reduction of the fee. But </w:t>
      </w:r>
      <w:r w:rsidR="0094776A">
        <w:rPr>
          <w:rFonts w:ascii="Arial" w:eastAsia="Times New Roman" w:hAnsi="Arial" w:cs="Arial"/>
          <w:szCs w:val="22"/>
        </w:rPr>
        <w:t>t</w:t>
      </w:r>
      <w:r>
        <w:rPr>
          <w:rFonts w:ascii="Arial" w:eastAsia="Times New Roman" w:hAnsi="Arial" w:cs="Arial"/>
          <w:szCs w:val="22"/>
        </w:rPr>
        <w:t>he process remains</w:t>
      </w:r>
      <w:r w:rsidRPr="00AF4709">
        <w:rPr>
          <w:rFonts w:ascii="Arial" w:eastAsia="Times New Roman" w:hAnsi="Arial" w:cs="Arial"/>
          <w:szCs w:val="22"/>
        </w:rPr>
        <w:t xml:space="preserve"> humiliating and unnecessary</w:t>
      </w:r>
      <w:r>
        <w:rPr>
          <w:rFonts w:ascii="Arial" w:eastAsia="Times New Roman" w:hAnsi="Arial" w:cs="Arial"/>
          <w:szCs w:val="22"/>
        </w:rPr>
        <w:t>, furthermore it</w:t>
      </w:r>
      <w:r>
        <w:rPr>
          <w:rFonts w:ascii="Helvetica" w:hAnsi="Helvetica"/>
          <w:color w:val="0A0A0A"/>
          <w:shd w:val="clear" w:color="auto" w:fill="FFFFFF"/>
        </w:rPr>
        <w:t xml:space="preserve"> excludes trans children and young people. It also excludes non-binary people.</w:t>
      </w:r>
    </w:p>
    <w:p w14:paraId="376B82B4" w14:textId="1694A684" w:rsidR="00EF4FE0" w:rsidRPr="00AF4709" w:rsidRDefault="00A87E47" w:rsidP="00EF4FE0">
      <w:pPr>
        <w:widowControl w:val="0"/>
        <w:autoSpaceDE w:val="0"/>
        <w:autoSpaceDN w:val="0"/>
        <w:adjustRightInd w:val="0"/>
        <w:spacing w:line="276" w:lineRule="auto"/>
        <w:textAlignment w:val="center"/>
        <w:rPr>
          <w:rFonts w:ascii="Arial" w:hAnsi="Arial" w:cs="Arial"/>
          <w:color w:val="000000"/>
        </w:rPr>
      </w:pPr>
      <w:r>
        <w:rPr>
          <w:rFonts w:ascii="Arial" w:eastAsia="Times New Roman" w:hAnsi="Arial" w:cs="Arial"/>
          <w:szCs w:val="22"/>
        </w:rPr>
        <w:t>Since</w:t>
      </w:r>
      <w:r w:rsidR="00EF4FE0" w:rsidRPr="00AF4709">
        <w:rPr>
          <w:rFonts w:ascii="Arial" w:eastAsia="Times New Roman" w:hAnsi="Arial" w:cs="Arial"/>
          <w:szCs w:val="22"/>
        </w:rPr>
        <w:t xml:space="preserve"> the</w:t>
      </w:r>
      <w:r>
        <w:rPr>
          <w:rFonts w:ascii="Arial" w:eastAsia="Times New Roman" w:hAnsi="Arial" w:cs="Arial"/>
          <w:szCs w:val="22"/>
        </w:rPr>
        <w:t xml:space="preserve"> initial</w:t>
      </w:r>
      <w:r w:rsidR="00EF4FE0" w:rsidRPr="00AF4709">
        <w:rPr>
          <w:rFonts w:ascii="Arial" w:eastAsia="Times New Roman" w:hAnsi="Arial" w:cs="Arial"/>
          <w:szCs w:val="22"/>
        </w:rPr>
        <w:t xml:space="preserve"> consultation</w:t>
      </w:r>
      <w:r w:rsidR="0094776A">
        <w:rPr>
          <w:rFonts w:ascii="Arial" w:eastAsia="Times New Roman" w:hAnsi="Arial" w:cs="Arial"/>
          <w:szCs w:val="22"/>
        </w:rPr>
        <w:t>,</w:t>
      </w:r>
      <w:r w:rsidR="00EF4FE0" w:rsidRPr="00AF4709">
        <w:rPr>
          <w:rFonts w:ascii="Arial" w:eastAsia="Times New Roman" w:hAnsi="Arial" w:cs="Arial"/>
          <w:szCs w:val="22"/>
        </w:rPr>
        <w:t xml:space="preserve"> there has been a debate in the media and certain political circles which has purposefully caused confusion about what the 2004 Act covers</w:t>
      </w:r>
      <w:r w:rsidR="008F1EA3">
        <w:rPr>
          <w:rFonts w:ascii="Arial" w:eastAsia="Times New Roman" w:hAnsi="Arial" w:cs="Arial"/>
          <w:szCs w:val="22"/>
        </w:rPr>
        <w:t>, its relationship with the Equality Act 2010</w:t>
      </w:r>
      <w:r w:rsidR="00EF4FE0" w:rsidRPr="00AF4709">
        <w:rPr>
          <w:rFonts w:ascii="Arial" w:eastAsia="Times New Roman" w:hAnsi="Arial" w:cs="Arial"/>
          <w:szCs w:val="22"/>
        </w:rPr>
        <w:t xml:space="preserve"> and what the proposed reforms would mean.</w:t>
      </w:r>
      <w:r w:rsidR="0094776A">
        <w:rPr>
          <w:rFonts w:ascii="Arial" w:eastAsia="Times New Roman" w:hAnsi="Arial" w:cs="Arial"/>
          <w:szCs w:val="22"/>
        </w:rPr>
        <w:t xml:space="preserve"> </w:t>
      </w:r>
      <w:r w:rsidR="008F1EA3">
        <w:rPr>
          <w:rFonts w:ascii="Arial" w:eastAsia="Times New Roman" w:hAnsi="Arial" w:cs="Arial"/>
          <w:szCs w:val="22"/>
        </w:rPr>
        <w:t xml:space="preserve">With the current debate playing out around </w:t>
      </w:r>
      <w:proofErr w:type="spellStart"/>
      <w:r w:rsidR="008F1EA3">
        <w:rPr>
          <w:rFonts w:ascii="Arial" w:eastAsia="Times New Roman" w:hAnsi="Arial" w:cs="Arial"/>
          <w:szCs w:val="22"/>
        </w:rPr>
        <w:t>Scotlands</w:t>
      </w:r>
      <w:proofErr w:type="spellEnd"/>
      <w:r w:rsidR="008F1EA3">
        <w:rPr>
          <w:rFonts w:ascii="Arial" w:eastAsia="Times New Roman" w:hAnsi="Arial" w:cs="Arial"/>
          <w:szCs w:val="22"/>
        </w:rPr>
        <w:t xml:space="preserve"> GRA reforms, h</w:t>
      </w:r>
      <w:r w:rsidR="0094776A">
        <w:rPr>
          <w:rFonts w:ascii="Arial" w:eastAsia="Times New Roman" w:hAnsi="Arial" w:cs="Arial"/>
          <w:szCs w:val="22"/>
        </w:rPr>
        <w:t>ere is our guide to help dispel any myths about what reforming the GRA would mean.</w:t>
      </w:r>
    </w:p>
    <w:p w14:paraId="411B8A68" w14:textId="77777777" w:rsidR="00F1287D" w:rsidRPr="00AF4709" w:rsidRDefault="00F1287D" w:rsidP="00F1287D">
      <w:pPr>
        <w:spacing w:line="360" w:lineRule="auto"/>
        <w:rPr>
          <w:rFonts w:ascii="Arial" w:eastAsia="Times New Roman" w:hAnsi="Arial" w:cs="Arial"/>
          <w:b/>
          <w:szCs w:val="28"/>
        </w:rPr>
      </w:pPr>
      <w:r w:rsidRPr="00AF4709">
        <w:rPr>
          <w:rFonts w:ascii="Arial" w:eastAsia="Times New Roman" w:hAnsi="Arial" w:cs="Arial"/>
          <w:b/>
          <w:szCs w:val="28"/>
        </w:rPr>
        <w:t>Why reform is needed</w:t>
      </w:r>
    </w:p>
    <w:p w14:paraId="5899A15B" w14:textId="77777777" w:rsidR="00F1287D" w:rsidRPr="00AF4709" w:rsidRDefault="00F1287D" w:rsidP="00F1287D">
      <w:pPr>
        <w:spacing w:line="276" w:lineRule="auto"/>
        <w:rPr>
          <w:rFonts w:ascii="Arial" w:eastAsia="Times New Roman" w:hAnsi="Arial" w:cs="Arial"/>
        </w:rPr>
      </w:pPr>
      <w:r w:rsidRPr="00AF4709">
        <w:rPr>
          <w:rFonts w:ascii="Arial" w:eastAsia="Times New Roman" w:hAnsi="Arial" w:cs="Arial"/>
        </w:rPr>
        <w:t xml:space="preserve">Apart from birth certificates, the name, </w:t>
      </w:r>
      <w:proofErr w:type="gramStart"/>
      <w:r w:rsidRPr="00AF4709">
        <w:rPr>
          <w:rFonts w:ascii="Arial" w:eastAsia="Times New Roman" w:hAnsi="Arial" w:cs="Arial"/>
        </w:rPr>
        <w:t>title</w:t>
      </w:r>
      <w:proofErr w:type="gramEnd"/>
      <w:r w:rsidRPr="00AF4709">
        <w:rPr>
          <w:rFonts w:ascii="Arial" w:eastAsia="Times New Roman" w:hAnsi="Arial" w:cs="Arial"/>
        </w:rPr>
        <w:t xml:space="preserve"> and gender marker on all UK identity documents can already be changed on a self-declaration basis when a trans person starts living permanently in their gender identity. These documents include: </w:t>
      </w:r>
    </w:p>
    <w:p w14:paraId="18CFF747"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Passports</w:t>
      </w:r>
    </w:p>
    <w:p w14:paraId="7D4E22C0"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Driving licences</w:t>
      </w:r>
    </w:p>
    <w:p w14:paraId="3998164A"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lastRenderedPageBreak/>
        <w:t>Medical records</w:t>
      </w:r>
    </w:p>
    <w:p w14:paraId="1A9BD626"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Bank accounts</w:t>
      </w:r>
    </w:p>
    <w:p w14:paraId="67732B4C"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Employment records</w:t>
      </w:r>
    </w:p>
    <w:p w14:paraId="4850E4FD"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Education records and qualification certificates</w:t>
      </w:r>
    </w:p>
    <w:p w14:paraId="626DAAB4"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Voter registration cards</w:t>
      </w:r>
    </w:p>
    <w:p w14:paraId="243AB1B4"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Disclosure and barring service certificate.</w:t>
      </w:r>
    </w:p>
    <w:p w14:paraId="7AC018F5" w14:textId="77777777" w:rsidR="00F1287D" w:rsidRPr="00AF4709" w:rsidRDefault="00F1287D" w:rsidP="00F1287D">
      <w:pPr>
        <w:spacing w:line="276" w:lineRule="auto"/>
        <w:ind w:left="851"/>
        <w:contextualSpacing/>
        <w:rPr>
          <w:rFonts w:ascii="Arial" w:eastAsia="Times New Roman" w:hAnsi="Arial" w:cs="Arial"/>
        </w:rPr>
      </w:pPr>
    </w:p>
    <w:p w14:paraId="368A75A7" w14:textId="77777777" w:rsidR="00F1287D" w:rsidRPr="00AF4709" w:rsidRDefault="00F1287D" w:rsidP="00F1287D">
      <w:pPr>
        <w:spacing w:line="276" w:lineRule="auto"/>
        <w:rPr>
          <w:rFonts w:ascii="Arial" w:eastAsia="Times New Roman" w:hAnsi="Arial" w:cs="Arial"/>
        </w:rPr>
      </w:pPr>
      <w:r w:rsidRPr="00AF4709">
        <w:rPr>
          <w:rFonts w:ascii="Arial" w:eastAsia="Times New Roman" w:hAnsi="Arial" w:cs="Arial"/>
        </w:rPr>
        <w:t>By contrast, the process for changing the legal gender on a trans person’s birth certificate is a humiliating and expensive red-tape nightmare. It requires people to submit intrusive psychiatric evidence to a faceless tribunal panel years after they have socially transitioned, with the only right of appeal if their application is rejected being based on process, which is opaque at best.</w:t>
      </w:r>
    </w:p>
    <w:p w14:paraId="78D04AE0" w14:textId="77777777" w:rsidR="00F1287D" w:rsidRPr="00AF4709" w:rsidRDefault="00F1287D" w:rsidP="00F1287D">
      <w:pPr>
        <w:spacing w:line="276" w:lineRule="auto"/>
        <w:rPr>
          <w:rFonts w:ascii="Arial" w:eastAsia="Times New Roman" w:hAnsi="Arial" w:cs="Arial"/>
        </w:rPr>
      </w:pPr>
      <w:r w:rsidRPr="00AF4709">
        <w:rPr>
          <w:rFonts w:ascii="Arial" w:eastAsia="Times New Roman" w:hAnsi="Arial" w:cs="Arial"/>
        </w:rPr>
        <w:t>The current process for legal gender recognition is:</w:t>
      </w:r>
    </w:p>
    <w:p w14:paraId="69312664"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 xml:space="preserve">Outdated compared to international human rights best practice.  </w:t>
      </w:r>
      <w:r w:rsidRPr="00AF4709">
        <w:rPr>
          <w:rFonts w:ascii="Arial" w:eastAsia="Times New Roman" w:hAnsi="Arial" w:cs="Arial"/>
        </w:rPr>
        <w:t>There is more information on this below.</w:t>
      </w:r>
    </w:p>
    <w:p w14:paraId="1D9AC49D"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Stigmatising</w:t>
      </w:r>
      <w:r w:rsidRPr="00AF4709">
        <w:rPr>
          <w:rFonts w:ascii="Arial" w:eastAsia="Times New Roman" w:hAnsi="Arial" w:cs="Arial"/>
        </w:rPr>
        <w:t xml:space="preserve"> of trans people: it requires a diagnostic psychiatric report, reinforcing the outdated assumption that being trans is a mental illness. </w:t>
      </w:r>
    </w:p>
    <w:p w14:paraId="55757F4B"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Intrusive</w:t>
      </w:r>
      <w:r w:rsidRPr="00AF4709">
        <w:rPr>
          <w:rFonts w:ascii="Arial" w:eastAsia="Times New Roman" w:hAnsi="Arial" w:cs="Arial"/>
        </w:rPr>
        <w:t xml:space="preserve"> and </w:t>
      </w:r>
      <w:r w:rsidRPr="00AF4709">
        <w:rPr>
          <w:rFonts w:ascii="Arial" w:eastAsia="Times New Roman" w:hAnsi="Arial" w:cs="Arial"/>
          <w:b/>
        </w:rPr>
        <w:t>humiliating:</w:t>
      </w:r>
      <w:r w:rsidRPr="00AF4709">
        <w:rPr>
          <w:rFonts w:ascii="Arial" w:eastAsia="Times New Roman" w:hAnsi="Arial" w:cs="Arial"/>
        </w:rPr>
        <w:t xml:space="preserve"> it requires trans people to provide extensive medical evidence about their bodies despite the 2004 Act making no requirement to undergo hormonal or surgical treatments. </w:t>
      </w:r>
    </w:p>
    <w:p w14:paraId="17A14C4C"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 xml:space="preserve">Too complicated </w:t>
      </w:r>
      <w:r w:rsidRPr="00AF4709">
        <w:rPr>
          <w:rFonts w:ascii="Arial" w:eastAsia="Times New Roman" w:hAnsi="Arial" w:cs="Arial"/>
        </w:rPr>
        <w:t xml:space="preserve">for many trans people to navigate, especially if they have poor literacy, are </w:t>
      </w:r>
      <w:proofErr w:type="gramStart"/>
      <w:r w:rsidRPr="00AF4709">
        <w:rPr>
          <w:rFonts w:ascii="Arial" w:eastAsia="Times New Roman" w:hAnsi="Arial" w:cs="Arial"/>
        </w:rPr>
        <w:t>disabled</w:t>
      </w:r>
      <w:proofErr w:type="gramEnd"/>
      <w:r w:rsidRPr="00AF4709">
        <w:rPr>
          <w:rFonts w:ascii="Arial" w:eastAsia="Times New Roman" w:hAnsi="Arial" w:cs="Arial"/>
        </w:rPr>
        <w:t xml:space="preserve"> or have lost old paperwork while homeless or fleeing domestic violence. </w:t>
      </w:r>
    </w:p>
    <w:p w14:paraId="21F8B03D"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Needlessly slow:</w:t>
      </w:r>
      <w:r w:rsidRPr="00AF4709">
        <w:rPr>
          <w:rFonts w:ascii="Arial" w:eastAsia="Times New Roman" w:hAnsi="Arial" w:cs="Arial"/>
        </w:rPr>
        <w:t xml:space="preserve"> people cannot apply until two years after they socially transitioned. </w:t>
      </w:r>
    </w:p>
    <w:p w14:paraId="5C8DE994"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Excludes many trans people</w:t>
      </w:r>
      <w:r w:rsidRPr="00AF4709">
        <w:rPr>
          <w:rFonts w:ascii="Arial" w:eastAsia="Times New Roman" w:hAnsi="Arial" w:cs="Arial"/>
        </w:rPr>
        <w:t xml:space="preserve"> who have transitioned, including under 18s and non-binary people. There is more about this below.</w:t>
      </w:r>
    </w:p>
    <w:p w14:paraId="5787C55F" w14:textId="77777777" w:rsidR="00C565CB" w:rsidRDefault="00C565CB" w:rsidP="00F1287D">
      <w:pPr>
        <w:spacing w:line="276" w:lineRule="auto"/>
        <w:rPr>
          <w:rFonts w:ascii="Arial" w:eastAsia="Times New Roman" w:hAnsi="Arial" w:cs="Arial"/>
        </w:rPr>
      </w:pPr>
    </w:p>
    <w:p w14:paraId="4B46AF4D" w14:textId="69680B56" w:rsidR="00F1287D" w:rsidRPr="00AF4709" w:rsidRDefault="00F1287D" w:rsidP="00F1287D">
      <w:pPr>
        <w:spacing w:line="276" w:lineRule="auto"/>
        <w:rPr>
          <w:rFonts w:ascii="Arial" w:eastAsia="Times New Roman" w:hAnsi="Arial" w:cs="Arial"/>
        </w:rPr>
      </w:pPr>
      <w:r w:rsidRPr="00AF4709">
        <w:rPr>
          <w:rFonts w:ascii="Arial" w:eastAsia="Times New Roman" w:hAnsi="Arial" w:cs="Arial"/>
        </w:rPr>
        <w:t>For these reasons, most trans people do not even apply for a gender recognition certificate. This leaves them in a risky legal limbo, with the gender recorded on their birth certificate not matching their other identity documents and contradicting how they live. This can cause harmful errors and difficulties including:</w:t>
      </w:r>
    </w:p>
    <w:p w14:paraId="71C00352" w14:textId="77777777" w:rsidR="00F1287D" w:rsidRPr="00AF4709" w:rsidRDefault="00F1287D" w:rsidP="00F1287D">
      <w:pPr>
        <w:numPr>
          <w:ilvl w:val="0"/>
          <w:numId w:val="3"/>
        </w:numPr>
        <w:spacing w:line="276" w:lineRule="auto"/>
        <w:ind w:left="709"/>
        <w:contextualSpacing/>
        <w:rPr>
          <w:rFonts w:ascii="Arial" w:eastAsia="Times New Roman" w:hAnsi="Arial" w:cs="Arial"/>
          <w:b/>
        </w:rPr>
      </w:pPr>
      <w:r w:rsidRPr="00AF4709">
        <w:rPr>
          <w:rFonts w:ascii="Arial" w:eastAsia="Times New Roman" w:hAnsi="Arial" w:cs="Arial"/>
        </w:rPr>
        <w:t xml:space="preserve">Problems entering a </w:t>
      </w:r>
      <w:r w:rsidRPr="00AF4709">
        <w:rPr>
          <w:rFonts w:ascii="Arial" w:eastAsia="Times New Roman" w:hAnsi="Arial" w:cs="Arial"/>
          <w:b/>
        </w:rPr>
        <w:t>marriage or civil partnership</w:t>
      </w:r>
      <w:r w:rsidRPr="00AF4709">
        <w:rPr>
          <w:rFonts w:ascii="Arial" w:eastAsia="Times New Roman" w:hAnsi="Arial" w:cs="Arial"/>
        </w:rPr>
        <w:t xml:space="preserve"> correctly</w:t>
      </w:r>
    </w:p>
    <w:p w14:paraId="6E4C65A2" w14:textId="77777777" w:rsidR="00F1287D" w:rsidRPr="00AF4709" w:rsidRDefault="00F1287D" w:rsidP="00F1287D">
      <w:pPr>
        <w:numPr>
          <w:ilvl w:val="0"/>
          <w:numId w:val="3"/>
        </w:numPr>
        <w:spacing w:line="276" w:lineRule="auto"/>
        <w:ind w:left="709"/>
        <w:contextualSpacing/>
        <w:rPr>
          <w:rFonts w:ascii="Arial" w:eastAsia="Times New Roman" w:hAnsi="Arial" w:cs="Arial"/>
          <w:b/>
        </w:rPr>
      </w:pPr>
      <w:r w:rsidRPr="00AF4709">
        <w:rPr>
          <w:rFonts w:ascii="Arial" w:eastAsia="Times New Roman" w:hAnsi="Arial" w:cs="Arial"/>
        </w:rPr>
        <w:t xml:space="preserve">Mistakes calculating their </w:t>
      </w:r>
      <w:r w:rsidRPr="00AF4709">
        <w:rPr>
          <w:rFonts w:ascii="Arial" w:eastAsia="Times New Roman" w:hAnsi="Arial" w:cs="Arial"/>
          <w:b/>
        </w:rPr>
        <w:t>pension entitlement</w:t>
      </w:r>
      <w:r w:rsidRPr="00AF4709">
        <w:rPr>
          <w:rFonts w:ascii="Arial" w:eastAsia="Times New Roman" w:hAnsi="Arial" w:cs="Arial"/>
        </w:rPr>
        <w:t xml:space="preserve"> and start date</w:t>
      </w:r>
    </w:p>
    <w:p w14:paraId="03E3FA02" w14:textId="77777777" w:rsidR="00F1287D" w:rsidRPr="00AF4709" w:rsidRDefault="00F1287D" w:rsidP="00F1287D">
      <w:pPr>
        <w:numPr>
          <w:ilvl w:val="0"/>
          <w:numId w:val="3"/>
        </w:numPr>
        <w:spacing w:line="276" w:lineRule="auto"/>
        <w:ind w:left="709"/>
        <w:contextualSpacing/>
        <w:rPr>
          <w:rFonts w:ascii="Arial" w:eastAsia="Times New Roman" w:hAnsi="Arial" w:cs="Arial"/>
          <w:b/>
        </w:rPr>
      </w:pPr>
      <w:r w:rsidRPr="00AF4709">
        <w:rPr>
          <w:rFonts w:ascii="Arial" w:eastAsia="Times New Roman" w:hAnsi="Arial" w:cs="Arial"/>
        </w:rPr>
        <w:t xml:space="preserve">Accidental invalidation of </w:t>
      </w:r>
      <w:r w:rsidRPr="00AF4709">
        <w:rPr>
          <w:rFonts w:ascii="Arial" w:eastAsia="Times New Roman" w:hAnsi="Arial" w:cs="Arial"/>
          <w:b/>
        </w:rPr>
        <w:t xml:space="preserve">insurance policies, </w:t>
      </w:r>
      <w:r w:rsidRPr="00AF4709">
        <w:rPr>
          <w:rFonts w:ascii="Arial" w:eastAsia="Times New Roman" w:hAnsi="Arial" w:cs="Arial"/>
        </w:rPr>
        <w:t xml:space="preserve">especially car, </w:t>
      </w:r>
      <w:proofErr w:type="gramStart"/>
      <w:r w:rsidRPr="00AF4709">
        <w:rPr>
          <w:rFonts w:ascii="Arial" w:eastAsia="Times New Roman" w:hAnsi="Arial" w:cs="Arial"/>
        </w:rPr>
        <w:t>travel</w:t>
      </w:r>
      <w:proofErr w:type="gramEnd"/>
      <w:r w:rsidRPr="00AF4709">
        <w:rPr>
          <w:rFonts w:ascii="Arial" w:eastAsia="Times New Roman" w:hAnsi="Arial" w:cs="Arial"/>
        </w:rPr>
        <w:t xml:space="preserve"> or life insurance</w:t>
      </w:r>
    </w:p>
    <w:p w14:paraId="5BFABF78" w14:textId="77777777" w:rsidR="00F1287D" w:rsidRPr="00AF4709" w:rsidRDefault="00F1287D" w:rsidP="00F1287D">
      <w:pPr>
        <w:numPr>
          <w:ilvl w:val="0"/>
          <w:numId w:val="3"/>
        </w:numPr>
        <w:spacing w:line="276" w:lineRule="auto"/>
        <w:ind w:left="709"/>
        <w:contextualSpacing/>
        <w:rPr>
          <w:rFonts w:ascii="Arial" w:eastAsia="Times New Roman" w:hAnsi="Arial" w:cs="Arial"/>
          <w:b/>
        </w:rPr>
      </w:pPr>
      <w:r w:rsidRPr="00AF4709">
        <w:rPr>
          <w:rFonts w:ascii="Arial" w:eastAsia="Times New Roman" w:hAnsi="Arial" w:cs="Arial"/>
        </w:rPr>
        <w:t xml:space="preserve">Less protection of their human right to </w:t>
      </w:r>
      <w:r w:rsidRPr="00AF4709">
        <w:rPr>
          <w:rFonts w:ascii="Arial" w:eastAsia="Times New Roman" w:hAnsi="Arial" w:cs="Arial"/>
          <w:b/>
        </w:rPr>
        <w:t>privacy</w:t>
      </w:r>
      <w:r w:rsidRPr="00AF4709">
        <w:rPr>
          <w:rFonts w:ascii="Arial" w:eastAsia="Times New Roman" w:hAnsi="Arial" w:cs="Arial"/>
        </w:rPr>
        <w:t xml:space="preserve"> about their gender reassignment history </w:t>
      </w:r>
    </w:p>
    <w:p w14:paraId="3D9046E5" w14:textId="0EABB345" w:rsidR="00F1287D" w:rsidRPr="00C565CB" w:rsidRDefault="00F1287D" w:rsidP="00F1287D">
      <w:pPr>
        <w:numPr>
          <w:ilvl w:val="0"/>
          <w:numId w:val="3"/>
        </w:numPr>
        <w:spacing w:line="276" w:lineRule="auto"/>
        <w:ind w:left="709"/>
        <w:contextualSpacing/>
        <w:rPr>
          <w:rFonts w:ascii="Arial" w:eastAsia="Times New Roman" w:hAnsi="Arial" w:cs="Arial"/>
          <w:b/>
        </w:rPr>
      </w:pPr>
      <w:r w:rsidRPr="00AF4709">
        <w:rPr>
          <w:rFonts w:ascii="Arial" w:eastAsia="Times New Roman" w:hAnsi="Arial" w:cs="Arial"/>
        </w:rPr>
        <w:lastRenderedPageBreak/>
        <w:t xml:space="preserve">Increased risk of </w:t>
      </w:r>
      <w:r w:rsidRPr="00AF4709">
        <w:rPr>
          <w:rFonts w:ascii="Arial" w:eastAsia="Times New Roman" w:hAnsi="Arial" w:cs="Arial"/>
          <w:b/>
        </w:rPr>
        <w:t>harassment and discrimination</w:t>
      </w:r>
      <w:r w:rsidRPr="00AF4709">
        <w:rPr>
          <w:rFonts w:ascii="Arial" w:eastAsia="Times New Roman" w:hAnsi="Arial" w:cs="Arial"/>
        </w:rPr>
        <w:t xml:space="preserve"> from employers and service providers. This could also result in people being </w:t>
      </w:r>
      <w:r w:rsidRPr="00AF4709">
        <w:rPr>
          <w:rFonts w:ascii="Arial" w:eastAsia="Times New Roman" w:hAnsi="Arial" w:cs="Arial"/>
          <w:szCs w:val="22"/>
        </w:rPr>
        <w:t>identified wrongly after death, particularly if next of kin are not accepting of the trans person’s correct identity</w:t>
      </w:r>
    </w:p>
    <w:p w14:paraId="6C0904CD" w14:textId="77777777" w:rsidR="00C565CB" w:rsidRPr="00AF4709" w:rsidRDefault="00C565CB" w:rsidP="00C565CB">
      <w:pPr>
        <w:spacing w:line="276" w:lineRule="auto"/>
        <w:ind w:left="709"/>
        <w:contextualSpacing/>
        <w:rPr>
          <w:rFonts w:ascii="Arial" w:eastAsia="Times New Roman" w:hAnsi="Arial" w:cs="Arial"/>
          <w:b/>
        </w:rPr>
      </w:pPr>
    </w:p>
    <w:p w14:paraId="0134568D" w14:textId="77777777" w:rsidR="00D85F73" w:rsidRPr="00AF4709" w:rsidRDefault="00D85F73" w:rsidP="00D85F73">
      <w:pPr>
        <w:spacing w:line="276" w:lineRule="auto"/>
        <w:rPr>
          <w:rFonts w:ascii="Arial" w:eastAsia="Times New Roman" w:hAnsi="Arial" w:cs="Arial"/>
          <w:b/>
        </w:rPr>
      </w:pPr>
      <w:r w:rsidRPr="00AF4709">
        <w:rPr>
          <w:rFonts w:ascii="Arial" w:eastAsia="Times New Roman" w:hAnsi="Arial" w:cs="Arial"/>
          <w:b/>
        </w:rPr>
        <w:t>What change is needed to the Gender Recognition Act</w:t>
      </w:r>
    </w:p>
    <w:p w14:paraId="4FE903A3" w14:textId="77777777" w:rsidR="00D85F73" w:rsidRPr="00AF4709" w:rsidRDefault="00D85F73" w:rsidP="00D85F73">
      <w:pPr>
        <w:numPr>
          <w:ilvl w:val="0"/>
          <w:numId w:val="4"/>
        </w:numPr>
        <w:spacing w:line="276" w:lineRule="auto"/>
        <w:ind w:left="709"/>
        <w:contextualSpacing/>
        <w:rPr>
          <w:rFonts w:ascii="Arial" w:eastAsia="Times New Roman" w:hAnsi="Arial" w:cs="Arial"/>
        </w:rPr>
      </w:pPr>
      <w:r w:rsidRPr="00AF4709">
        <w:rPr>
          <w:rFonts w:ascii="Arial" w:eastAsia="Times New Roman" w:hAnsi="Arial" w:cs="Arial"/>
        </w:rPr>
        <w:t>Replace the psychiatric diagnosis requirement with a self-declaration procedure, as already used for identity documents such as passport and driving licence</w:t>
      </w:r>
    </w:p>
    <w:p w14:paraId="393D7432" w14:textId="77777777" w:rsidR="00D85F73" w:rsidRPr="00AF4709" w:rsidRDefault="00D85F73" w:rsidP="00D85F73">
      <w:pPr>
        <w:numPr>
          <w:ilvl w:val="0"/>
          <w:numId w:val="4"/>
        </w:numPr>
        <w:spacing w:line="276" w:lineRule="auto"/>
        <w:ind w:left="709"/>
        <w:contextualSpacing/>
        <w:rPr>
          <w:rFonts w:ascii="Arial" w:eastAsia="Times New Roman" w:hAnsi="Arial" w:cs="Arial"/>
        </w:rPr>
      </w:pPr>
      <w:r w:rsidRPr="00AF4709">
        <w:rPr>
          <w:rFonts w:ascii="Arial" w:eastAsia="Times New Roman" w:hAnsi="Arial" w:cs="Arial"/>
        </w:rPr>
        <w:t>Reduce the age at which people can get legal recognition of the gender they live as</w:t>
      </w:r>
    </w:p>
    <w:p w14:paraId="059F6395" w14:textId="77777777" w:rsidR="00D85F73" w:rsidRPr="00AF4709" w:rsidRDefault="00D85F73" w:rsidP="00D85F73">
      <w:pPr>
        <w:numPr>
          <w:ilvl w:val="0"/>
          <w:numId w:val="4"/>
        </w:numPr>
        <w:spacing w:line="276" w:lineRule="auto"/>
        <w:ind w:left="709"/>
        <w:contextualSpacing/>
        <w:rPr>
          <w:rFonts w:ascii="Arial" w:eastAsia="Times New Roman" w:hAnsi="Arial" w:cs="Arial"/>
        </w:rPr>
      </w:pPr>
      <w:r w:rsidRPr="00AF4709">
        <w:rPr>
          <w:rFonts w:ascii="Arial" w:eastAsia="Times New Roman" w:hAnsi="Arial" w:cs="Arial"/>
        </w:rPr>
        <w:t>Provide legal recognition for non-binary people - people who do not identify as men or women.</w:t>
      </w:r>
    </w:p>
    <w:p w14:paraId="4EBBEE32" w14:textId="77777777" w:rsidR="00D85F73" w:rsidRPr="00AF4709" w:rsidRDefault="00D85F73" w:rsidP="00D85F73">
      <w:pPr>
        <w:spacing w:line="276" w:lineRule="auto"/>
        <w:ind w:left="709"/>
        <w:contextualSpacing/>
        <w:rPr>
          <w:rFonts w:ascii="Arial" w:eastAsia="Times New Roman" w:hAnsi="Arial" w:cs="Arial"/>
        </w:rPr>
      </w:pPr>
    </w:p>
    <w:p w14:paraId="1AADCE4E" w14:textId="77777777" w:rsidR="00D85F73" w:rsidRPr="00AF4709" w:rsidRDefault="00D85F73" w:rsidP="00D85F73">
      <w:pPr>
        <w:spacing w:line="360" w:lineRule="auto"/>
        <w:rPr>
          <w:rFonts w:ascii="Arial" w:eastAsia="Times New Roman" w:hAnsi="Arial" w:cs="Arial"/>
          <w:b/>
        </w:rPr>
      </w:pPr>
      <w:r w:rsidRPr="00AF4709">
        <w:rPr>
          <w:rFonts w:ascii="Arial" w:eastAsia="Times New Roman" w:hAnsi="Arial" w:cs="Arial"/>
          <w:b/>
        </w:rPr>
        <w:t>Self-declaration process</w:t>
      </w:r>
    </w:p>
    <w:p w14:paraId="18D04D85" w14:textId="77777777" w:rsidR="00D85F73" w:rsidRPr="00AF4709" w:rsidRDefault="00D85F73" w:rsidP="00D85F73">
      <w:pPr>
        <w:spacing w:line="276" w:lineRule="auto"/>
        <w:rPr>
          <w:rFonts w:ascii="Arial" w:eastAsia="Times New Roman" w:hAnsi="Arial" w:cs="Arial"/>
        </w:rPr>
      </w:pPr>
      <w:r w:rsidRPr="00AF4709">
        <w:rPr>
          <w:rFonts w:ascii="Arial" w:eastAsia="Times New Roman" w:hAnsi="Arial" w:cs="Arial"/>
        </w:rPr>
        <w:t>A ‘self-declaration’ procedure to update a trans person’s legal gender:</w:t>
      </w:r>
    </w:p>
    <w:p w14:paraId="0A3AB03A" w14:textId="77777777" w:rsidR="00D85F73" w:rsidRPr="00AF4709" w:rsidRDefault="00D85F73" w:rsidP="00D85F73">
      <w:pPr>
        <w:numPr>
          <w:ilvl w:val="0"/>
          <w:numId w:val="5"/>
        </w:numPr>
        <w:spacing w:line="276" w:lineRule="auto"/>
        <w:ind w:left="709"/>
        <w:contextualSpacing/>
        <w:rPr>
          <w:rFonts w:ascii="Arial" w:eastAsia="Times New Roman" w:hAnsi="Arial" w:cs="Arial"/>
        </w:rPr>
      </w:pPr>
      <w:r w:rsidRPr="00AF4709">
        <w:rPr>
          <w:rFonts w:ascii="Arial" w:eastAsia="Times New Roman" w:hAnsi="Arial" w:cs="Arial"/>
        </w:rPr>
        <w:t>Would be administrative in nature, not involving a court or tribunal decision</w:t>
      </w:r>
    </w:p>
    <w:p w14:paraId="08874A6F" w14:textId="77777777" w:rsidR="00D85F73" w:rsidRPr="00AF4709" w:rsidRDefault="00D85F73" w:rsidP="00D85F73">
      <w:pPr>
        <w:numPr>
          <w:ilvl w:val="0"/>
          <w:numId w:val="5"/>
        </w:numPr>
        <w:spacing w:line="276" w:lineRule="auto"/>
        <w:ind w:left="709"/>
        <w:contextualSpacing/>
        <w:rPr>
          <w:rFonts w:ascii="Arial" w:eastAsia="Times New Roman" w:hAnsi="Arial" w:cs="Arial"/>
        </w:rPr>
      </w:pPr>
      <w:r w:rsidRPr="00AF4709">
        <w:rPr>
          <w:rFonts w:ascii="Arial" w:eastAsia="Times New Roman" w:hAnsi="Arial" w:cs="Arial"/>
        </w:rPr>
        <w:t>Would require a trans person to make a statutory declaration that they are living permanently in their gender identity</w:t>
      </w:r>
    </w:p>
    <w:p w14:paraId="493F41FD" w14:textId="77777777" w:rsidR="00D85F73" w:rsidRPr="00AF4709" w:rsidRDefault="00D85F73" w:rsidP="00D85F73">
      <w:pPr>
        <w:numPr>
          <w:ilvl w:val="0"/>
          <w:numId w:val="5"/>
        </w:numPr>
        <w:spacing w:line="276" w:lineRule="auto"/>
        <w:ind w:left="709"/>
        <w:contextualSpacing/>
        <w:rPr>
          <w:rFonts w:ascii="Arial" w:eastAsia="Times New Roman" w:hAnsi="Arial" w:cs="Arial"/>
        </w:rPr>
      </w:pPr>
      <w:r w:rsidRPr="00AF4709">
        <w:rPr>
          <w:rFonts w:ascii="Arial" w:eastAsia="Times New Roman" w:hAnsi="Arial" w:cs="Arial"/>
        </w:rPr>
        <w:t>Would not require a psychiatric report or any other medical evidence</w:t>
      </w:r>
    </w:p>
    <w:p w14:paraId="1AD3738F" w14:textId="77777777" w:rsidR="00D85F73" w:rsidRPr="00AF4709" w:rsidRDefault="00D85F73" w:rsidP="00D85F73">
      <w:pPr>
        <w:numPr>
          <w:ilvl w:val="0"/>
          <w:numId w:val="5"/>
        </w:numPr>
        <w:spacing w:line="276" w:lineRule="auto"/>
        <w:ind w:left="709"/>
        <w:contextualSpacing/>
        <w:rPr>
          <w:rFonts w:ascii="Arial" w:eastAsia="Times New Roman" w:hAnsi="Arial" w:cs="Arial"/>
        </w:rPr>
      </w:pPr>
      <w:r w:rsidRPr="00AF4709">
        <w:rPr>
          <w:rFonts w:ascii="Arial" w:eastAsia="Times New Roman" w:hAnsi="Arial" w:cs="Arial"/>
        </w:rPr>
        <w:t>Would not require a trans person to prove they have already lived a long time in their gender identity.</w:t>
      </w:r>
    </w:p>
    <w:p w14:paraId="3D04F6F6" w14:textId="77777777" w:rsidR="00D85F73" w:rsidRPr="00AF4709" w:rsidRDefault="00D85F73" w:rsidP="00D85F73">
      <w:pPr>
        <w:numPr>
          <w:ilvl w:val="0"/>
          <w:numId w:val="5"/>
        </w:numPr>
        <w:spacing w:line="276" w:lineRule="auto"/>
        <w:ind w:left="709"/>
        <w:contextualSpacing/>
        <w:rPr>
          <w:rFonts w:ascii="Arial" w:eastAsia="Times New Roman" w:hAnsi="Arial" w:cs="Arial"/>
          <w:b/>
        </w:rPr>
      </w:pPr>
      <w:r w:rsidRPr="00AF4709">
        <w:rPr>
          <w:rFonts w:ascii="Arial" w:eastAsia="Times New Roman" w:hAnsi="Arial" w:cs="Arial"/>
        </w:rPr>
        <w:t>Deliberately making a false statutory declaration is a serious crime punishable by imprisonment.</w:t>
      </w:r>
    </w:p>
    <w:p w14:paraId="0283162F" w14:textId="77777777" w:rsidR="00D85F73" w:rsidRPr="00AF4709" w:rsidRDefault="00D85F73" w:rsidP="00D85F73">
      <w:pPr>
        <w:spacing w:line="276" w:lineRule="auto"/>
        <w:ind w:left="709"/>
        <w:contextualSpacing/>
        <w:rPr>
          <w:rFonts w:ascii="Arial" w:eastAsia="Times New Roman" w:hAnsi="Arial" w:cs="Arial"/>
          <w:b/>
        </w:rPr>
      </w:pPr>
    </w:p>
    <w:p w14:paraId="79F6C23E" w14:textId="77777777" w:rsidR="00D85F73" w:rsidRPr="00AF4709" w:rsidRDefault="00D85F73" w:rsidP="00D85F73">
      <w:pPr>
        <w:spacing w:line="276" w:lineRule="auto"/>
        <w:rPr>
          <w:rFonts w:ascii="Arial" w:eastAsia="Times New Roman" w:hAnsi="Arial" w:cs="Arial"/>
        </w:rPr>
      </w:pPr>
      <w:r w:rsidRPr="00AF4709">
        <w:rPr>
          <w:rFonts w:ascii="Arial" w:eastAsia="Times New Roman" w:hAnsi="Arial" w:cs="Arial"/>
        </w:rPr>
        <w:t xml:space="preserve">Young trans people under 16 can already change their name, title and gender marker on all UK identity documents except their birth certificate, with parental consent.  </w:t>
      </w:r>
    </w:p>
    <w:p w14:paraId="0A86B512" w14:textId="77777777" w:rsidR="00D85F73" w:rsidRDefault="00D85F73" w:rsidP="00D85F73">
      <w:pPr>
        <w:spacing w:line="276" w:lineRule="auto"/>
        <w:rPr>
          <w:rFonts w:ascii="Arial" w:eastAsia="Times New Roman" w:hAnsi="Arial" w:cs="Arial"/>
        </w:rPr>
      </w:pPr>
      <w:r w:rsidRPr="00AF4709">
        <w:rPr>
          <w:rFonts w:ascii="Arial" w:eastAsia="Times New Roman" w:hAnsi="Arial" w:cs="Arial"/>
        </w:rPr>
        <w:t xml:space="preserve">It is important to note that under 16s </w:t>
      </w:r>
      <w:proofErr w:type="gramStart"/>
      <w:r w:rsidRPr="00AF4709">
        <w:rPr>
          <w:rFonts w:ascii="Arial" w:eastAsia="Times New Roman" w:hAnsi="Arial" w:cs="Arial"/>
        </w:rPr>
        <w:t>aren’t able to</w:t>
      </w:r>
      <w:proofErr w:type="gramEnd"/>
      <w:r w:rsidRPr="00AF4709">
        <w:rPr>
          <w:rFonts w:ascii="Arial" w:eastAsia="Times New Roman" w:hAnsi="Arial" w:cs="Arial"/>
        </w:rPr>
        <w:t xml:space="preserve"> have surgery.  They can be prescribed puberty blockers. Pausing puberty is the only way to mitigate emotional pain and distress. </w:t>
      </w:r>
      <w:r>
        <w:rPr>
          <w:rFonts w:ascii="Arial" w:eastAsia="Times New Roman" w:hAnsi="Arial" w:cs="Arial"/>
        </w:rPr>
        <w:t>The Government announced in September 2020 that NHS England have appointed Dr Hilary Cass OBE (former President of the Royal college of Paediatrics and Child Health) to lead an independent review into gender identity service for children and young people.</w:t>
      </w:r>
    </w:p>
    <w:p w14:paraId="7DA139EE" w14:textId="77777777" w:rsidR="00D85F73" w:rsidRPr="00AF4709" w:rsidRDefault="00D85F73" w:rsidP="00D85F73">
      <w:pPr>
        <w:spacing w:line="276" w:lineRule="auto"/>
        <w:rPr>
          <w:rFonts w:ascii="Arial" w:eastAsia="Times New Roman" w:hAnsi="Arial" w:cs="Arial"/>
        </w:rPr>
      </w:pPr>
      <w:r w:rsidRPr="00AF4709">
        <w:rPr>
          <w:rFonts w:ascii="Arial" w:eastAsia="Times New Roman" w:hAnsi="Arial" w:cs="Arial"/>
        </w:rPr>
        <w:t>Self-declaration procedures for changing gender on these UK ID documents have been working smoothly for over 40 years, with no evidence of misuse</w:t>
      </w:r>
      <w:r w:rsidRPr="00AF4709">
        <w:rPr>
          <w:rFonts w:ascii="Arial" w:eastAsia="Times New Roman" w:hAnsi="Arial" w:cs="Arial"/>
          <w:b/>
        </w:rPr>
        <w:t xml:space="preserve">.  </w:t>
      </w:r>
      <w:r w:rsidRPr="00AF4709">
        <w:rPr>
          <w:rFonts w:ascii="Arial" w:eastAsia="Times New Roman" w:hAnsi="Arial" w:cs="Arial"/>
        </w:rPr>
        <w:t>It is now time to bring the process for birth certificates into line with all other ID by reforming the Gender Recognition Act.</w:t>
      </w:r>
    </w:p>
    <w:p w14:paraId="5C3FAEA8" w14:textId="77777777" w:rsidR="000213B6" w:rsidRDefault="000213B6" w:rsidP="00D85F73">
      <w:pPr>
        <w:spacing w:line="276" w:lineRule="auto"/>
        <w:rPr>
          <w:rFonts w:ascii="Arial" w:eastAsia="Times New Roman" w:hAnsi="Arial" w:cs="Arial"/>
          <w:b/>
        </w:rPr>
      </w:pPr>
    </w:p>
    <w:p w14:paraId="2D384F2E" w14:textId="0BEE9E68" w:rsidR="00D85F73" w:rsidRPr="00AF4709" w:rsidRDefault="00D85F73" w:rsidP="00D85F73">
      <w:pPr>
        <w:spacing w:line="276" w:lineRule="auto"/>
        <w:rPr>
          <w:rFonts w:ascii="Arial" w:eastAsia="Times New Roman" w:hAnsi="Arial" w:cs="Arial"/>
          <w:b/>
        </w:rPr>
      </w:pPr>
      <w:r w:rsidRPr="00AF4709">
        <w:rPr>
          <w:rFonts w:ascii="Arial" w:eastAsia="Times New Roman" w:hAnsi="Arial" w:cs="Arial"/>
          <w:b/>
        </w:rPr>
        <w:lastRenderedPageBreak/>
        <w:t>Legal recognition for non-binary people</w:t>
      </w:r>
    </w:p>
    <w:p w14:paraId="64426AF4" w14:textId="5AC61045" w:rsidR="00D85F73" w:rsidRPr="00AF4709" w:rsidRDefault="00D85F73" w:rsidP="00D85F73">
      <w:pPr>
        <w:spacing w:line="276" w:lineRule="auto"/>
        <w:rPr>
          <w:rFonts w:ascii="Arial" w:eastAsia="Times New Roman" w:hAnsi="Arial" w:cs="Arial"/>
        </w:rPr>
      </w:pPr>
      <w:r w:rsidRPr="00AF4709">
        <w:rPr>
          <w:rFonts w:ascii="Arial" w:eastAsia="Times New Roman" w:hAnsi="Arial" w:cs="Arial"/>
        </w:rPr>
        <w:t xml:space="preserve">Non-binary people are those whose gender identity is neither female nor male. UNISON is acutely aware of the need to acknowledge non-binary gender identities. Non-binary </w:t>
      </w:r>
      <w:r w:rsidR="008F6636">
        <w:rPr>
          <w:rFonts w:ascii="Arial" w:eastAsia="Times New Roman" w:hAnsi="Arial" w:cs="Arial"/>
        </w:rPr>
        <w:t>members</w:t>
      </w:r>
      <w:r w:rsidRPr="00AF4709">
        <w:rPr>
          <w:rFonts w:ascii="Arial" w:eastAsia="Times New Roman" w:hAnsi="Arial" w:cs="Arial"/>
        </w:rPr>
        <w:t xml:space="preserve"> </w:t>
      </w:r>
      <w:r w:rsidR="008F6636">
        <w:rPr>
          <w:rFonts w:ascii="Arial" w:eastAsia="Times New Roman" w:hAnsi="Arial" w:cs="Arial"/>
        </w:rPr>
        <w:t>have been vocal</w:t>
      </w:r>
      <w:r w:rsidRPr="00AF4709">
        <w:rPr>
          <w:rFonts w:ascii="Arial" w:eastAsia="Times New Roman" w:hAnsi="Arial" w:cs="Arial"/>
        </w:rPr>
        <w:t xml:space="preserve"> about how the failure to recognise their identities impacts on their work, their </w:t>
      </w:r>
      <w:proofErr w:type="gramStart"/>
      <w:r w:rsidRPr="00AF4709">
        <w:rPr>
          <w:rFonts w:ascii="Arial" w:eastAsia="Times New Roman" w:hAnsi="Arial" w:cs="Arial"/>
        </w:rPr>
        <w:t>well-being</w:t>
      </w:r>
      <w:proofErr w:type="gramEnd"/>
      <w:r w:rsidRPr="00AF4709">
        <w:rPr>
          <w:rFonts w:ascii="Arial" w:eastAsia="Times New Roman" w:hAnsi="Arial" w:cs="Arial"/>
        </w:rPr>
        <w:t xml:space="preserve"> and their lives.  </w:t>
      </w:r>
    </w:p>
    <w:p w14:paraId="630E0B46" w14:textId="19B37A07" w:rsidR="00D85F73" w:rsidRPr="00AF4709" w:rsidRDefault="00D85F73" w:rsidP="00D85F73">
      <w:pPr>
        <w:spacing w:line="276" w:lineRule="auto"/>
        <w:rPr>
          <w:rFonts w:ascii="Arial" w:eastAsia="Times New Roman" w:hAnsi="Arial" w:cs="Arial"/>
          <w:i/>
        </w:rPr>
      </w:pPr>
      <w:r w:rsidRPr="00AF4709">
        <w:rPr>
          <w:rFonts w:ascii="Arial" w:eastAsia="Times New Roman" w:hAnsi="Arial" w:cs="Arial"/>
          <w:i/>
        </w:rPr>
        <w:t>UK-wide research conducted by Scottish Trans ‘Non-binary people’s experiences in the UK’ (201</w:t>
      </w:r>
      <w:r w:rsidR="00681C3B">
        <w:rPr>
          <w:rFonts w:ascii="Arial" w:eastAsia="Times New Roman" w:hAnsi="Arial" w:cs="Arial"/>
          <w:i/>
        </w:rPr>
        <w:t>6</w:t>
      </w:r>
      <w:r w:rsidRPr="00AF4709">
        <w:rPr>
          <w:rFonts w:ascii="Arial" w:eastAsia="Times New Roman" w:hAnsi="Arial" w:cs="Arial"/>
          <w:i/>
        </w:rPr>
        <w:t xml:space="preserve">) gave clear evidence of this.  See </w:t>
      </w:r>
      <w:hyperlink r:id="rId12" w:history="1">
        <w:r w:rsidRPr="00AF4709">
          <w:rPr>
            <w:rFonts w:ascii="Arial" w:eastAsia="Times New Roman" w:hAnsi="Arial" w:cs="Arial"/>
            <w:i/>
            <w:color w:val="0000FF"/>
            <w:szCs w:val="22"/>
            <w:u w:val="single"/>
          </w:rPr>
          <w:t>www.scottishtrans.org/wp-content/uploads/2016/08/Report-final.pdf</w:t>
        </w:r>
      </w:hyperlink>
      <w:r w:rsidRPr="00AF4709">
        <w:rPr>
          <w:rFonts w:eastAsia="Times New Roman" w:cs="Times New Roman"/>
          <w:sz w:val="22"/>
          <w:szCs w:val="22"/>
        </w:rPr>
        <w:t xml:space="preserve">. </w:t>
      </w:r>
    </w:p>
    <w:p w14:paraId="1F18B558" w14:textId="3D19CB59" w:rsidR="00D85F73" w:rsidRPr="00BE3E62" w:rsidRDefault="00D85F73" w:rsidP="00D85F73">
      <w:pPr>
        <w:spacing w:line="276" w:lineRule="auto"/>
        <w:rPr>
          <w:rFonts w:ascii="Arial" w:eastAsia="Times New Roman" w:hAnsi="Arial" w:cs="Arial"/>
        </w:rPr>
      </w:pPr>
      <w:r w:rsidRPr="00AF4709">
        <w:rPr>
          <w:rFonts w:ascii="Arial" w:eastAsia="Times New Roman" w:hAnsi="Arial" w:cs="Arial"/>
        </w:rPr>
        <w:t>This is still the most current</w:t>
      </w:r>
      <w:r w:rsidR="000213B6">
        <w:rPr>
          <w:rFonts w:ascii="Arial" w:eastAsia="Times New Roman" w:hAnsi="Arial" w:cs="Arial"/>
        </w:rPr>
        <w:t xml:space="preserve"> and comprehensive</w:t>
      </w:r>
      <w:r w:rsidRPr="00AF4709">
        <w:rPr>
          <w:rFonts w:ascii="Arial" w:eastAsia="Times New Roman" w:hAnsi="Arial" w:cs="Arial"/>
        </w:rPr>
        <w:t xml:space="preserve"> research in the UK</w:t>
      </w:r>
      <w:r w:rsidR="000213B6">
        <w:rPr>
          <w:rFonts w:ascii="Arial" w:eastAsia="Times New Roman" w:hAnsi="Arial" w:cs="Arial"/>
        </w:rPr>
        <w:t xml:space="preserve"> about non-binary people’s experiences</w:t>
      </w:r>
      <w:r w:rsidRPr="00AF4709">
        <w:rPr>
          <w:rFonts w:ascii="Arial" w:eastAsia="Times New Roman" w:hAnsi="Arial" w:cs="Arial"/>
        </w:rPr>
        <w:t xml:space="preserve">, and little has changed in the last </w:t>
      </w:r>
      <w:r w:rsidR="00EF28DA">
        <w:rPr>
          <w:rFonts w:ascii="Arial" w:eastAsia="Times New Roman" w:hAnsi="Arial" w:cs="Arial"/>
        </w:rPr>
        <w:t>7</w:t>
      </w:r>
      <w:r w:rsidRPr="00AF4709">
        <w:rPr>
          <w:rFonts w:ascii="Arial" w:eastAsia="Times New Roman" w:hAnsi="Arial" w:cs="Arial"/>
        </w:rPr>
        <w:t xml:space="preserve"> years.</w:t>
      </w:r>
      <w:r w:rsidR="00BE3E62">
        <w:rPr>
          <w:rFonts w:ascii="Arial" w:eastAsia="Times New Roman" w:hAnsi="Arial" w:cs="Arial"/>
        </w:rPr>
        <w:t xml:space="preserve"> </w:t>
      </w:r>
      <w:r w:rsidRPr="00BE3E62">
        <w:rPr>
          <w:rFonts w:ascii="Arial" w:eastAsia="Times New Roman" w:hAnsi="Arial" w:cs="Arial"/>
          <w:iCs/>
        </w:rPr>
        <w:t>Non-binary people should be able to fully participate in all aspects of society in line with their gender identity.  The option of legal recognition is an important part of this.</w:t>
      </w:r>
    </w:p>
    <w:p w14:paraId="1F94A627" w14:textId="77777777" w:rsidR="00F630AC" w:rsidRPr="00AF4709" w:rsidRDefault="00F630AC" w:rsidP="00F630AC">
      <w:pPr>
        <w:spacing w:line="276" w:lineRule="auto"/>
        <w:rPr>
          <w:rFonts w:ascii="Arial" w:eastAsia="Times New Roman" w:hAnsi="Arial" w:cs="Arial"/>
          <w:b/>
          <w:sz w:val="28"/>
          <w:szCs w:val="28"/>
        </w:rPr>
      </w:pPr>
      <w:r w:rsidRPr="00AF4709">
        <w:rPr>
          <w:rFonts w:ascii="Arial" w:eastAsia="Times New Roman" w:hAnsi="Arial" w:cs="Arial"/>
          <w:b/>
          <w:sz w:val="28"/>
          <w:szCs w:val="28"/>
        </w:rPr>
        <w:t>Myths versus facts</w:t>
      </w:r>
    </w:p>
    <w:p w14:paraId="24B6E3E9" w14:textId="77777777" w:rsidR="00F630AC" w:rsidRPr="00BE3E62" w:rsidRDefault="00F630AC" w:rsidP="00F630AC">
      <w:pPr>
        <w:spacing w:line="276" w:lineRule="auto"/>
        <w:rPr>
          <w:rFonts w:ascii="Arial" w:eastAsia="Times New Roman" w:hAnsi="Arial" w:cs="Arial"/>
        </w:rPr>
      </w:pPr>
      <w:r w:rsidRPr="00BE3E62">
        <w:rPr>
          <w:rFonts w:ascii="Arial" w:eastAsia="Times New Roman" w:hAnsi="Arial" w:cs="Arial"/>
        </w:rPr>
        <w:t>Concerns have been, and continue to be, raised about problems that may arise if the GRA is reformed in line with international best practice.  There continues to be an unfortunate suggestion of a conflict between trans equality rights and women’s equality rights.</w:t>
      </w:r>
    </w:p>
    <w:p w14:paraId="17522EE6" w14:textId="5FF44370" w:rsidR="00F630AC" w:rsidRPr="00BE3E62" w:rsidRDefault="00C94CE0" w:rsidP="00F630AC">
      <w:pPr>
        <w:spacing w:line="276" w:lineRule="auto"/>
        <w:rPr>
          <w:rFonts w:ascii="Arial" w:eastAsia="Times New Roman" w:hAnsi="Arial" w:cs="Times New Roman"/>
          <w:szCs w:val="22"/>
        </w:rPr>
      </w:pPr>
      <w:r>
        <w:rPr>
          <w:rFonts w:ascii="Arial" w:eastAsia="Times New Roman" w:hAnsi="Arial" w:cs="Arial"/>
        </w:rPr>
        <w:t>In response to the UK Government’s announcement that it would block the GRA reform bill</w:t>
      </w:r>
      <w:r w:rsidR="00F630AC" w:rsidRPr="00BE3E62">
        <w:rPr>
          <w:rFonts w:ascii="Arial" w:eastAsia="Times New Roman" w:hAnsi="Arial" w:cs="Arial"/>
        </w:rPr>
        <w:t xml:space="preserve"> in Scotland, </w:t>
      </w:r>
      <w:r w:rsidR="00BE3E62" w:rsidRPr="00BE3E62">
        <w:rPr>
          <w:rFonts w:ascii="Arial" w:eastAsia="Times New Roman" w:hAnsi="Arial" w:cs="Arial"/>
        </w:rPr>
        <w:t xml:space="preserve">eight of </w:t>
      </w:r>
      <w:r w:rsidR="00F630AC" w:rsidRPr="00BE3E62">
        <w:rPr>
          <w:rFonts w:ascii="Arial" w:eastAsia="Times New Roman" w:hAnsi="Arial" w:cs="Times New Roman"/>
          <w:szCs w:val="22"/>
        </w:rPr>
        <w:t>Scotland’s national women’s equality organisations - Close the Gap, Engender, Rape Crisis Scotland, Scottish Women’s Aid,</w:t>
      </w:r>
      <w:r w:rsidR="00BE3E62" w:rsidRPr="00BE3E62">
        <w:rPr>
          <w:rFonts w:ascii="Arial" w:eastAsia="Times New Roman" w:hAnsi="Arial" w:cs="Times New Roman"/>
          <w:szCs w:val="22"/>
        </w:rPr>
        <w:t xml:space="preserve"> Scottish Women’s Convention, Scottish Women’s Rights Centre, Young Women’s Movement,</w:t>
      </w:r>
      <w:r w:rsidR="00F630AC" w:rsidRPr="00BE3E62">
        <w:rPr>
          <w:rFonts w:ascii="Arial" w:eastAsia="Times New Roman" w:hAnsi="Arial" w:cs="Times New Roman"/>
          <w:szCs w:val="22"/>
        </w:rPr>
        <w:t xml:space="preserve"> and Zero Tolerance - all support reform to a self-declaration process</w:t>
      </w:r>
      <w:r>
        <w:rPr>
          <w:rFonts w:ascii="Arial" w:eastAsia="Times New Roman" w:hAnsi="Arial" w:cs="Times New Roman"/>
          <w:szCs w:val="22"/>
        </w:rPr>
        <w:t xml:space="preserve">. </w:t>
      </w:r>
      <w:r w:rsidR="00F630AC" w:rsidRPr="00BE3E62">
        <w:rPr>
          <w:rFonts w:ascii="Arial" w:eastAsia="Times New Roman" w:hAnsi="Arial" w:cs="Times New Roman"/>
          <w:szCs w:val="22"/>
        </w:rPr>
        <w:t>In a joint statement they have said:</w:t>
      </w:r>
    </w:p>
    <w:p w14:paraId="2CB8E084" w14:textId="77777777" w:rsidR="00C94CE0" w:rsidRPr="00C94CE0" w:rsidRDefault="00F630AC" w:rsidP="00C94CE0">
      <w:pPr>
        <w:pStyle w:val="NormalWeb"/>
        <w:shd w:val="clear" w:color="auto" w:fill="FFFFFF"/>
        <w:spacing w:before="225" w:beforeAutospacing="0" w:after="225" w:afterAutospacing="0"/>
        <w:rPr>
          <w:rFonts w:ascii="Arial" w:hAnsi="Arial" w:cs="Arial"/>
          <w:i/>
          <w:iCs/>
          <w:color w:val="000000"/>
        </w:rPr>
      </w:pPr>
      <w:r w:rsidRPr="00C94CE0">
        <w:rPr>
          <w:rFonts w:ascii="Arial" w:hAnsi="Arial" w:cs="Arial"/>
          <w:i/>
          <w:iCs/>
        </w:rPr>
        <w:t>“</w:t>
      </w:r>
      <w:r w:rsidR="00C94CE0" w:rsidRPr="00C94CE0">
        <w:rPr>
          <w:rFonts w:ascii="Arial" w:hAnsi="Arial" w:cs="Arial"/>
          <w:i/>
          <w:iCs/>
          <w:color w:val="000000"/>
        </w:rPr>
        <w:t>It is demoralising to see how trusted and highly experienced experts on equality and providers of services to women — many of whom have provided world-leading services in Scotland for decades — have been drowned out in this debate and denigrated for standing against misinformation.</w:t>
      </w:r>
    </w:p>
    <w:p w14:paraId="4B89F521" w14:textId="77777777" w:rsidR="00C94CE0" w:rsidRPr="00C94CE0" w:rsidRDefault="00C94CE0" w:rsidP="00C94CE0">
      <w:pPr>
        <w:pStyle w:val="NormalWeb"/>
        <w:shd w:val="clear" w:color="auto" w:fill="FFFFFF"/>
        <w:spacing w:before="225" w:beforeAutospacing="0" w:after="225" w:afterAutospacing="0"/>
        <w:rPr>
          <w:rFonts w:ascii="Arial" w:hAnsi="Arial" w:cs="Arial"/>
          <w:i/>
          <w:iCs/>
          <w:color w:val="000000"/>
        </w:rPr>
      </w:pPr>
      <w:r w:rsidRPr="00C94CE0">
        <w:rPr>
          <w:rFonts w:ascii="Arial" w:hAnsi="Arial" w:cs="Arial"/>
          <w:i/>
          <w:iCs/>
          <w:color w:val="000000"/>
        </w:rPr>
        <w:t xml:space="preserve">There are currently a number of very real threats to women’s rights in Scotland and the UK including but not limited to poverty, the </w:t>
      </w:r>
      <w:proofErr w:type="gramStart"/>
      <w:r w:rsidRPr="00C94CE0">
        <w:rPr>
          <w:rFonts w:ascii="Arial" w:hAnsi="Arial" w:cs="Arial"/>
          <w:i/>
          <w:iCs/>
          <w:color w:val="000000"/>
        </w:rPr>
        <w:t>cost of living</w:t>
      </w:r>
      <w:proofErr w:type="gramEnd"/>
      <w:r w:rsidRPr="00C94CE0">
        <w:rPr>
          <w:rFonts w:ascii="Arial" w:hAnsi="Arial" w:cs="Arial"/>
          <w:i/>
          <w:iCs/>
          <w:color w:val="000000"/>
        </w:rPr>
        <w:t xml:space="preserve"> crisis, cuts to services, rape conviction rates and the experiences of immigrant and refugee women. We find it particularly concerning that so much political and media attention has been devoted to the debate around this Bill in place of tackling these genuine barriers to women’s equality.</w:t>
      </w:r>
    </w:p>
    <w:p w14:paraId="068DD047" w14:textId="5065368A" w:rsidR="00C94CE0" w:rsidRPr="00C94CE0" w:rsidRDefault="00C94CE0" w:rsidP="00C94CE0">
      <w:pPr>
        <w:pStyle w:val="NormalWeb"/>
        <w:shd w:val="clear" w:color="auto" w:fill="FFFFFF"/>
        <w:spacing w:before="225" w:beforeAutospacing="0" w:after="225" w:afterAutospacing="0"/>
        <w:rPr>
          <w:rFonts w:ascii="Arial" w:hAnsi="Arial" w:cs="Arial"/>
          <w:i/>
          <w:iCs/>
          <w:color w:val="000000"/>
        </w:rPr>
      </w:pPr>
      <w:r w:rsidRPr="00C94CE0">
        <w:rPr>
          <w:rFonts w:ascii="Arial" w:hAnsi="Arial" w:cs="Arial"/>
          <w:i/>
          <w:iCs/>
          <w:color w:val="000000"/>
        </w:rPr>
        <w:t xml:space="preserve">Trans people across Scotland have endured seven years of being dangerously misrepresented in public discourse. We are deeply concerned about the impact of misinformation around what </w:t>
      </w:r>
      <w:r w:rsidRPr="00C94CE0">
        <w:rPr>
          <w:rFonts w:ascii="Arial" w:hAnsi="Arial" w:cs="Arial"/>
          <w:i/>
          <w:iCs/>
          <w:color w:val="000000"/>
        </w:rPr>
        <w:lastRenderedPageBreak/>
        <w:t xml:space="preserve">this Bill </w:t>
      </w:r>
      <w:proofErr w:type="gramStart"/>
      <w:r w:rsidRPr="00C94CE0">
        <w:rPr>
          <w:rFonts w:ascii="Arial" w:hAnsi="Arial" w:cs="Arial"/>
          <w:i/>
          <w:iCs/>
          <w:color w:val="000000"/>
        </w:rPr>
        <w:t>actually does</w:t>
      </w:r>
      <w:proofErr w:type="gramEnd"/>
      <w:r w:rsidRPr="00C94CE0">
        <w:rPr>
          <w:rFonts w:ascii="Arial" w:hAnsi="Arial" w:cs="Arial"/>
          <w:i/>
          <w:iCs/>
          <w:color w:val="000000"/>
        </w:rPr>
        <w:t>, and the perception that it creates that women’s rights and the rights of trans people are in conflict. They are not.”</w:t>
      </w:r>
    </w:p>
    <w:p w14:paraId="3660A2F5" w14:textId="097BECBE" w:rsidR="00F630AC" w:rsidRPr="00AF4709" w:rsidRDefault="00F630AC" w:rsidP="00C94CE0">
      <w:pPr>
        <w:spacing w:line="276" w:lineRule="auto"/>
        <w:rPr>
          <w:rFonts w:ascii="Arial" w:eastAsia="Times New Roman" w:hAnsi="Arial" w:cs="Arial"/>
        </w:rPr>
      </w:pPr>
      <w:r w:rsidRPr="00C94CE0">
        <w:rPr>
          <w:rFonts w:ascii="Arial" w:eastAsia="Times New Roman" w:hAnsi="Arial" w:cs="Arial"/>
        </w:rPr>
        <w:t>Concerns that have continually been raised are</w:t>
      </w:r>
      <w:r w:rsidRPr="00AF4709">
        <w:rPr>
          <w:rFonts w:ascii="Arial" w:eastAsia="Times New Roman" w:hAnsi="Arial" w:cs="Arial"/>
        </w:rPr>
        <w:t xml:space="preserve"> based on misunderstandings about what reform would mean.  To clarify:</w:t>
      </w:r>
    </w:p>
    <w:p w14:paraId="34586CF1" w14:textId="77777777" w:rsidR="00F630AC" w:rsidRPr="00AF4709" w:rsidRDefault="00F630AC" w:rsidP="00F630AC">
      <w:pPr>
        <w:numPr>
          <w:ilvl w:val="0"/>
          <w:numId w:val="7"/>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access to single-sex services and facilitie</w:t>
      </w:r>
      <w:r w:rsidRPr="00AF4709">
        <w:rPr>
          <w:rFonts w:ascii="Arial" w:eastAsia="Times New Roman" w:hAnsi="Arial" w:cs="Arial"/>
        </w:rPr>
        <w:t>s.  It is the Equality Act 2010 (which is not under review), not the Gender Recognition Act 2004, that provides trans people with legal protection from discrimination and addresses access to single-sex services. The Equality Act 2010 protected characteristic of gender reassignment applies from the moment a person proposes to undergo any part of a process of transition. No medical diagnosis is needed.</w:t>
      </w:r>
    </w:p>
    <w:p w14:paraId="3F582E85" w14:textId="77777777" w:rsidR="00F630AC" w:rsidRPr="00AF4709" w:rsidRDefault="00F630AC" w:rsidP="00F630AC">
      <w:pPr>
        <w:numPr>
          <w:ilvl w:val="0"/>
          <w:numId w:val="8"/>
        </w:numPr>
        <w:spacing w:line="276" w:lineRule="auto"/>
        <w:contextualSpacing/>
        <w:rPr>
          <w:rFonts w:ascii="Arial" w:eastAsia="Times New Roman" w:hAnsi="Arial" w:cs="Arial"/>
        </w:rPr>
      </w:pPr>
      <w:r w:rsidRPr="00AF4709">
        <w:rPr>
          <w:rFonts w:ascii="Arial" w:eastAsia="Times New Roman" w:hAnsi="Arial" w:cs="Arial"/>
        </w:rPr>
        <w:t>Trans people, regardless of stage of transition, have always been lawfully able to use whichever toilet they wish in the UK without showing any ID. Cubicles mean it is not proportionate to restrict trans access.</w:t>
      </w:r>
    </w:p>
    <w:p w14:paraId="34FD7D68" w14:textId="77777777" w:rsidR="00F630AC" w:rsidRPr="00AF4709" w:rsidRDefault="00F630AC" w:rsidP="00F630AC">
      <w:pPr>
        <w:numPr>
          <w:ilvl w:val="0"/>
          <w:numId w:val="8"/>
        </w:numPr>
        <w:spacing w:line="276" w:lineRule="auto"/>
        <w:contextualSpacing/>
        <w:rPr>
          <w:rFonts w:ascii="Arial" w:eastAsia="Times New Roman" w:hAnsi="Arial" w:cs="Arial"/>
        </w:rPr>
      </w:pPr>
      <w:r w:rsidRPr="00AF4709">
        <w:rPr>
          <w:rFonts w:ascii="Arial" w:eastAsia="Times New Roman" w:hAnsi="Arial" w:cs="Arial"/>
        </w:rPr>
        <w:t xml:space="preserve">The Equality Act 2010 provides an exemption for single-sex services allowing them to treat a trans person differently from other service users providing this is a proportionate response to achieve a legitimate aim. Gender Recognition Act reform will not change this exemption. </w:t>
      </w:r>
    </w:p>
    <w:p w14:paraId="7BC0D77E" w14:textId="77777777" w:rsidR="00F630AC" w:rsidRPr="00AF4709" w:rsidRDefault="00F630AC" w:rsidP="00F630AC">
      <w:pPr>
        <w:numPr>
          <w:ilvl w:val="0"/>
          <w:numId w:val="8"/>
        </w:numPr>
        <w:spacing w:line="276" w:lineRule="auto"/>
        <w:contextualSpacing/>
        <w:rPr>
          <w:rFonts w:ascii="Arial" w:eastAsia="Times New Roman" w:hAnsi="Arial" w:cs="Arial"/>
        </w:rPr>
      </w:pPr>
      <w:r w:rsidRPr="00AF4709">
        <w:rPr>
          <w:rFonts w:ascii="Arial" w:eastAsia="Times New Roman" w:hAnsi="Arial" w:cs="Arial"/>
        </w:rPr>
        <w:t xml:space="preserve">Violence against women services already have robust risk-management and safeguarding policies in place, for example to be able to identify and prevent any lesbian or bisexual female perpetrator of violence from being able to access a service where her abused female partner is staying. </w:t>
      </w:r>
    </w:p>
    <w:p w14:paraId="3017FF60" w14:textId="77777777" w:rsidR="00F630AC" w:rsidRPr="00AF4709" w:rsidRDefault="00F630AC" w:rsidP="00F630AC">
      <w:pPr>
        <w:numPr>
          <w:ilvl w:val="0"/>
          <w:numId w:val="8"/>
        </w:numPr>
        <w:spacing w:line="276" w:lineRule="auto"/>
        <w:contextualSpacing/>
        <w:rPr>
          <w:rFonts w:ascii="Arial" w:eastAsia="Times New Roman" w:hAnsi="Arial" w:cs="Arial"/>
        </w:rPr>
      </w:pPr>
      <w:r w:rsidRPr="00AF4709">
        <w:rPr>
          <w:rFonts w:ascii="Arial" w:eastAsia="Times New Roman" w:hAnsi="Arial" w:cs="Arial"/>
        </w:rPr>
        <w:t xml:space="preserve">Such services regularly reject non-trans women who are unsafe to include within group work and/or shared refuge accommodation due to antisocial behaviour, criminal history, drug addiction or severe mental illness. </w:t>
      </w:r>
    </w:p>
    <w:p w14:paraId="23ACD06E" w14:textId="77777777" w:rsidR="00F630AC" w:rsidRPr="00AF4709" w:rsidRDefault="00F630AC" w:rsidP="00F630AC">
      <w:pPr>
        <w:numPr>
          <w:ilvl w:val="0"/>
          <w:numId w:val="8"/>
        </w:numPr>
        <w:spacing w:line="276" w:lineRule="auto"/>
        <w:contextualSpacing/>
        <w:rPr>
          <w:rFonts w:ascii="Arial" w:eastAsia="Times New Roman" w:hAnsi="Arial" w:cs="Arial"/>
        </w:rPr>
      </w:pPr>
      <w:r w:rsidRPr="00AF4709">
        <w:rPr>
          <w:rFonts w:ascii="Arial" w:eastAsia="Times New Roman" w:hAnsi="Arial" w:cs="Arial"/>
        </w:rPr>
        <w:t>Possession of a gender recognition certificate does not circumvent in any way these risk management procedures and exclusion would still be possible.</w:t>
      </w:r>
    </w:p>
    <w:p w14:paraId="37C4DB89" w14:textId="77777777" w:rsidR="00F630AC" w:rsidRPr="00AF4709" w:rsidRDefault="00F630AC" w:rsidP="00F630AC">
      <w:pPr>
        <w:numPr>
          <w:ilvl w:val="0"/>
          <w:numId w:val="8"/>
        </w:numPr>
        <w:spacing w:line="276" w:lineRule="auto"/>
        <w:contextualSpacing/>
        <w:rPr>
          <w:rFonts w:ascii="Arial" w:eastAsia="Times New Roman" w:hAnsi="Arial" w:cs="Arial"/>
        </w:rPr>
      </w:pPr>
      <w:proofErr w:type="gramStart"/>
      <w:r w:rsidRPr="00AF4709">
        <w:rPr>
          <w:rFonts w:ascii="Arial" w:eastAsia="Times New Roman" w:hAnsi="Arial" w:cs="Arial"/>
        </w:rPr>
        <w:t>A number of</w:t>
      </w:r>
      <w:proofErr w:type="gramEnd"/>
      <w:r w:rsidRPr="00AF4709">
        <w:rPr>
          <w:rFonts w:ascii="Arial" w:eastAsia="Times New Roman" w:hAnsi="Arial" w:cs="Arial"/>
        </w:rPr>
        <w:t xml:space="preserve"> services allow trans women to use their services on a self-declaration basis.  No problems have been reported.</w:t>
      </w:r>
    </w:p>
    <w:p w14:paraId="1626ECDD"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hate crime law</w:t>
      </w:r>
      <w:r w:rsidRPr="00AF4709">
        <w:rPr>
          <w:rFonts w:ascii="Arial" w:eastAsia="Times New Roman" w:hAnsi="Arial" w:cs="Arial"/>
        </w:rPr>
        <w:t>. Whether or not a trans person has received legal gender recognition is irrelevant to prosecution of a hate crime. Polite disagreement about gender is not a hate crime but harassment and threatening behaviour can be aggravated by anti-trans hate.</w:t>
      </w:r>
    </w:p>
    <w:p w14:paraId="6E59A8CF"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Equality Act 2010 gender reassignment protections and exemptions</w:t>
      </w:r>
      <w:r w:rsidRPr="00AF4709">
        <w:rPr>
          <w:rFonts w:ascii="Arial" w:eastAsia="Times New Roman" w:hAnsi="Arial" w:cs="Arial"/>
        </w:rPr>
        <w:t xml:space="preserve">. The EA2010 already protects trans people against gender reassignment discrimination from the moment they first propose to start any aspect of social or medical transition away from their birth gender. The existing EA2010 single sex </w:t>
      </w:r>
      <w:r w:rsidRPr="00AF4709">
        <w:rPr>
          <w:rFonts w:ascii="Arial" w:eastAsia="Times New Roman" w:hAnsi="Arial" w:cs="Arial"/>
        </w:rPr>
        <w:lastRenderedPageBreak/>
        <w:t>services and genuine occupational requirement exemptions allow a trans person to be treated differently if that is a proportionate means of achieving a legitimate aim.</w:t>
      </w:r>
    </w:p>
    <w:p w14:paraId="00ADF4D4"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 xml:space="preserve">GRA reform does not affect Equality Act 2010 sex discrimination coverage. </w:t>
      </w:r>
      <w:r w:rsidRPr="00AF4709">
        <w:rPr>
          <w:rFonts w:ascii="Arial" w:eastAsia="Times New Roman" w:hAnsi="Arial" w:cs="Arial"/>
        </w:rPr>
        <w:t>The EA2010 protected characteristic of sex already covers not only discrimination based upon an individual’s actual biological sex characteristics but also discrimination based upon perception and wider aspects of sex and gender. Trans women who have not undergone any hormonal or surgical treatments can already become legally female.</w:t>
      </w:r>
    </w:p>
    <w:p w14:paraId="2C962496" w14:textId="77777777" w:rsidR="00F630AC" w:rsidRPr="00AF4709" w:rsidRDefault="00F630AC" w:rsidP="00F630AC">
      <w:pPr>
        <w:numPr>
          <w:ilvl w:val="0"/>
          <w:numId w:val="6"/>
        </w:numPr>
        <w:tabs>
          <w:tab w:val="left" w:pos="284"/>
        </w:tabs>
        <w:spacing w:line="276" w:lineRule="auto"/>
        <w:ind w:left="709"/>
        <w:contextualSpacing/>
        <w:rPr>
          <w:rFonts w:ascii="Arial" w:eastAsia="Times New Roman" w:hAnsi="Arial" w:cs="Arial"/>
        </w:rPr>
      </w:pPr>
      <w:r w:rsidRPr="00AF4709">
        <w:rPr>
          <w:rFonts w:ascii="Arial" w:eastAsia="Times New Roman" w:hAnsi="Arial" w:cs="Arial"/>
          <w:b/>
        </w:rPr>
        <w:t>GRA reform does not affect sports competitions</w:t>
      </w:r>
      <w:r w:rsidRPr="00AF4709">
        <w:rPr>
          <w:rFonts w:ascii="Arial" w:eastAsia="Times New Roman" w:hAnsi="Arial" w:cs="Arial"/>
        </w:rPr>
        <w:t>. Where necessary to ensure safe and fair competition in gender-affected sports, sports governing bodies can set their own restrictions on participation by trans people regardless of legal gender recognition status.</w:t>
      </w:r>
    </w:p>
    <w:p w14:paraId="1706517B"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any NHS clinical decision-making</w:t>
      </w:r>
      <w:r w:rsidRPr="00AF4709">
        <w:rPr>
          <w:rFonts w:ascii="Arial" w:eastAsia="Times New Roman" w:hAnsi="Arial" w:cs="Arial"/>
        </w:rPr>
        <w:t xml:space="preserve"> about minimum ages and other criteria for approving a trans person to receive hormone blockers, hormone replacement therapy or any surgeries.</w:t>
      </w:r>
    </w:p>
    <w:p w14:paraId="6870A97F"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NHS funding of gender identity services.</w:t>
      </w:r>
      <w:r w:rsidRPr="00AF4709">
        <w:rPr>
          <w:rFonts w:ascii="Arial" w:eastAsia="Times New Roman" w:hAnsi="Arial" w:cs="Arial"/>
        </w:rPr>
        <w:t xml:space="preserve"> De-medicalising the process for gender recognition is irrelevant to NHS evidence-based decisions about trans healthcare.</w:t>
      </w:r>
    </w:p>
    <w:p w14:paraId="45234C1C"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ability to receive NHS cancer screening.</w:t>
      </w:r>
      <w:r w:rsidRPr="00AF4709">
        <w:rPr>
          <w:rFonts w:ascii="Arial" w:eastAsia="Times New Roman" w:hAnsi="Arial" w:cs="Arial"/>
        </w:rPr>
        <w:t xml:space="preserve"> Trans people change gender on medical records before their birth certificates. Methods already exist to enable screening to continue.</w:t>
      </w:r>
    </w:p>
    <w:p w14:paraId="762B9D98" w14:textId="77777777" w:rsidR="00F630AC" w:rsidRPr="00AF4709" w:rsidRDefault="00F630AC" w:rsidP="00F630AC">
      <w:pPr>
        <w:numPr>
          <w:ilvl w:val="0"/>
          <w:numId w:val="5"/>
        </w:numPr>
        <w:spacing w:line="276" w:lineRule="auto"/>
        <w:ind w:left="709"/>
        <w:contextualSpacing/>
        <w:rPr>
          <w:rFonts w:ascii="Arial" w:eastAsia="Times New Roman" w:hAnsi="Arial" w:cs="Arial"/>
        </w:rPr>
      </w:pPr>
      <w:r w:rsidRPr="00AF4709">
        <w:rPr>
          <w:rFonts w:ascii="Arial" w:eastAsia="Times New Roman" w:hAnsi="Arial" w:cs="Arial"/>
          <w:b/>
        </w:rPr>
        <w:t>GRA reform would not permit anyone to ‘flip-flop’ legal genders</w:t>
      </w:r>
      <w:r w:rsidRPr="00AF4709">
        <w:rPr>
          <w:rFonts w:ascii="Arial" w:eastAsia="Times New Roman" w:hAnsi="Arial" w:cs="Arial"/>
        </w:rPr>
        <w:t xml:space="preserve"> across different situations or days.  The self-declaration process is a statutory declaration of the intention to live permanently in their gender identity</w:t>
      </w:r>
    </w:p>
    <w:p w14:paraId="0249BEBE" w14:textId="77777777" w:rsidR="00F630AC" w:rsidRPr="00AF4709" w:rsidRDefault="00F630AC" w:rsidP="00F630AC">
      <w:pPr>
        <w:spacing w:line="276" w:lineRule="auto"/>
        <w:rPr>
          <w:rFonts w:ascii="Arial" w:eastAsia="Times New Roman" w:hAnsi="Arial" w:cs="Arial"/>
          <w:b/>
          <w:sz w:val="28"/>
          <w:szCs w:val="28"/>
        </w:rPr>
      </w:pPr>
    </w:p>
    <w:p w14:paraId="62272F80" w14:textId="77777777" w:rsidR="00F630AC" w:rsidRPr="00AF4709" w:rsidRDefault="00F630AC" w:rsidP="00F630AC">
      <w:pPr>
        <w:spacing w:line="276" w:lineRule="auto"/>
        <w:rPr>
          <w:rFonts w:ascii="Arial" w:eastAsia="Times New Roman" w:hAnsi="Arial" w:cs="Arial"/>
          <w:b/>
          <w:sz w:val="28"/>
          <w:szCs w:val="28"/>
        </w:rPr>
      </w:pPr>
      <w:r w:rsidRPr="00AF4709">
        <w:rPr>
          <w:rFonts w:ascii="Arial" w:eastAsia="Times New Roman" w:hAnsi="Arial" w:cs="Arial"/>
          <w:b/>
          <w:sz w:val="28"/>
          <w:szCs w:val="28"/>
        </w:rPr>
        <w:t>International best practice</w:t>
      </w:r>
    </w:p>
    <w:p w14:paraId="14562F5A" w14:textId="028BFB8B" w:rsidR="00F630AC" w:rsidRPr="00AF4709" w:rsidRDefault="00F630AC" w:rsidP="00F630AC">
      <w:pPr>
        <w:spacing w:line="276" w:lineRule="auto"/>
        <w:rPr>
          <w:rFonts w:ascii="Arial" w:eastAsia="Times New Roman" w:hAnsi="Arial" w:cs="Arial"/>
        </w:rPr>
      </w:pPr>
      <w:r w:rsidRPr="00AF4709">
        <w:rPr>
          <w:rFonts w:ascii="Arial" w:eastAsia="Times New Roman" w:hAnsi="Arial" w:cs="Arial"/>
        </w:rPr>
        <w:t>International best practice has been identified by</w:t>
      </w:r>
      <w:r w:rsidRPr="00AF4709">
        <w:rPr>
          <w:rFonts w:ascii="Arial" w:eastAsia="Times New Roman" w:hAnsi="Arial" w:cs="Times New Roman"/>
          <w:szCs w:val="22"/>
        </w:rPr>
        <w:t xml:space="preserve"> the Council of Europe, World Professional Association of Transgender Health, International Commission of </w:t>
      </w:r>
      <w:proofErr w:type="gramStart"/>
      <w:r w:rsidRPr="00AF4709">
        <w:rPr>
          <w:rFonts w:ascii="Arial" w:eastAsia="Times New Roman" w:hAnsi="Arial" w:cs="Times New Roman"/>
          <w:szCs w:val="22"/>
        </w:rPr>
        <w:t>Jurists</w:t>
      </w:r>
      <w:proofErr w:type="gramEnd"/>
      <w:r w:rsidRPr="00AF4709">
        <w:rPr>
          <w:rFonts w:ascii="Arial" w:eastAsia="Times New Roman" w:hAnsi="Arial" w:cs="Times New Roman"/>
          <w:szCs w:val="22"/>
        </w:rPr>
        <w:t xml:space="preserve"> and other bodies.  Best practice is already in place in the following places</w:t>
      </w:r>
      <w:r w:rsidR="00E66317">
        <w:rPr>
          <w:rFonts w:ascii="Arial" w:eastAsia="Times New Roman" w:hAnsi="Arial" w:cs="Times New Roman"/>
          <w:szCs w:val="22"/>
        </w:rPr>
        <w:t>:</w:t>
      </w:r>
    </w:p>
    <w:p w14:paraId="49633EC0" w14:textId="77777777" w:rsidR="00F630AC" w:rsidRPr="00AF4709" w:rsidRDefault="00F630AC" w:rsidP="00F630AC">
      <w:pPr>
        <w:spacing w:line="276" w:lineRule="auto"/>
        <w:rPr>
          <w:rFonts w:ascii="Arial" w:eastAsia="Times New Roman" w:hAnsi="Arial" w:cs="Arial"/>
          <w:b/>
        </w:rPr>
      </w:pPr>
      <w:r w:rsidRPr="00AF4709">
        <w:rPr>
          <w:rFonts w:ascii="Arial" w:eastAsia="Times New Roman" w:hAnsi="Arial" w:cs="Arial"/>
          <w:b/>
        </w:rPr>
        <w:t>Self-declaration:</w:t>
      </w:r>
    </w:p>
    <w:p w14:paraId="7F6B2848" w14:textId="77777777" w:rsidR="00F630AC" w:rsidRPr="00AF4709" w:rsidRDefault="00F630AC" w:rsidP="00F630AC">
      <w:pPr>
        <w:numPr>
          <w:ilvl w:val="0"/>
          <w:numId w:val="9"/>
        </w:numPr>
        <w:spacing w:line="276" w:lineRule="auto"/>
        <w:ind w:left="851"/>
        <w:contextualSpacing/>
        <w:rPr>
          <w:rFonts w:ascii="Arial" w:eastAsia="Times New Roman" w:hAnsi="Arial" w:cs="Arial"/>
        </w:rPr>
      </w:pPr>
      <w:r w:rsidRPr="00AF4709">
        <w:rPr>
          <w:rFonts w:ascii="Arial" w:eastAsia="Times New Roman" w:hAnsi="Arial" w:cs="Arial"/>
        </w:rPr>
        <w:t xml:space="preserve">Countries with simple self-declaration administrative process for gender recognition: </w:t>
      </w:r>
    </w:p>
    <w:p w14:paraId="4CF55EDF" w14:textId="77777777" w:rsidR="00F630AC" w:rsidRPr="00AF4709" w:rsidRDefault="00F630AC" w:rsidP="00F630AC">
      <w:pPr>
        <w:numPr>
          <w:ilvl w:val="1"/>
          <w:numId w:val="9"/>
        </w:numPr>
        <w:spacing w:line="276" w:lineRule="auto"/>
        <w:contextualSpacing/>
        <w:rPr>
          <w:rFonts w:ascii="Arial" w:eastAsia="Times New Roman" w:hAnsi="Arial" w:cs="Arial"/>
        </w:rPr>
      </w:pPr>
      <w:r w:rsidRPr="00AF4709">
        <w:rPr>
          <w:rFonts w:ascii="Arial" w:eastAsia="Times New Roman" w:hAnsi="Arial" w:cs="Arial"/>
        </w:rPr>
        <w:t>Since 2012 – Argentina</w:t>
      </w:r>
    </w:p>
    <w:p w14:paraId="7C456FA5" w14:textId="77777777" w:rsidR="00F630AC" w:rsidRPr="00AF4709" w:rsidRDefault="00F630AC" w:rsidP="00F630AC">
      <w:pPr>
        <w:numPr>
          <w:ilvl w:val="1"/>
          <w:numId w:val="9"/>
        </w:numPr>
        <w:spacing w:line="276" w:lineRule="auto"/>
        <w:contextualSpacing/>
        <w:rPr>
          <w:rFonts w:ascii="Arial" w:eastAsia="Times New Roman" w:hAnsi="Arial" w:cs="Arial"/>
        </w:rPr>
      </w:pPr>
      <w:r w:rsidRPr="00AF4709">
        <w:rPr>
          <w:rFonts w:ascii="Arial" w:eastAsia="Times New Roman" w:hAnsi="Arial" w:cs="Arial"/>
        </w:rPr>
        <w:t xml:space="preserve">Since 2014 – Denmark </w:t>
      </w:r>
    </w:p>
    <w:p w14:paraId="0ED8F698" w14:textId="310DCED2" w:rsidR="00F630AC" w:rsidRDefault="00F630AC" w:rsidP="00F630AC">
      <w:pPr>
        <w:numPr>
          <w:ilvl w:val="1"/>
          <w:numId w:val="9"/>
        </w:numPr>
        <w:spacing w:line="276" w:lineRule="auto"/>
        <w:contextualSpacing/>
        <w:rPr>
          <w:rFonts w:ascii="Arial" w:eastAsia="Times New Roman" w:hAnsi="Arial" w:cs="Arial"/>
        </w:rPr>
      </w:pPr>
      <w:r w:rsidRPr="00AF4709">
        <w:rPr>
          <w:rFonts w:ascii="Arial" w:eastAsia="Times New Roman" w:hAnsi="Arial" w:cs="Arial"/>
        </w:rPr>
        <w:t>Since 2015 – Ireland, Malta, Norway, Colombia</w:t>
      </w:r>
    </w:p>
    <w:p w14:paraId="79C414A5" w14:textId="399B1B04" w:rsidR="00C14CCA" w:rsidRDefault="00C14CCA" w:rsidP="00F630AC">
      <w:pPr>
        <w:numPr>
          <w:ilvl w:val="1"/>
          <w:numId w:val="9"/>
        </w:numPr>
        <w:spacing w:line="276" w:lineRule="auto"/>
        <w:contextualSpacing/>
        <w:rPr>
          <w:rFonts w:ascii="Arial" w:eastAsia="Times New Roman" w:hAnsi="Arial" w:cs="Arial"/>
        </w:rPr>
      </w:pPr>
      <w:r>
        <w:rPr>
          <w:rFonts w:ascii="Arial" w:eastAsia="Times New Roman" w:hAnsi="Arial" w:cs="Arial"/>
        </w:rPr>
        <w:t xml:space="preserve">Since 2016 – </w:t>
      </w:r>
      <w:proofErr w:type="spellStart"/>
      <w:r>
        <w:rPr>
          <w:rFonts w:ascii="Arial" w:eastAsia="Times New Roman" w:hAnsi="Arial" w:cs="Arial"/>
        </w:rPr>
        <w:t>Boliva</w:t>
      </w:r>
      <w:proofErr w:type="spellEnd"/>
      <w:r>
        <w:rPr>
          <w:rFonts w:ascii="Arial" w:eastAsia="Times New Roman" w:hAnsi="Arial" w:cs="Arial"/>
        </w:rPr>
        <w:t xml:space="preserve">, Ecuador </w:t>
      </w:r>
    </w:p>
    <w:p w14:paraId="0E6828BF" w14:textId="2E89841E" w:rsidR="00C14CCA" w:rsidRPr="00AF4709" w:rsidRDefault="00C14CCA" w:rsidP="00F630AC">
      <w:pPr>
        <w:numPr>
          <w:ilvl w:val="1"/>
          <w:numId w:val="9"/>
        </w:numPr>
        <w:spacing w:line="276" w:lineRule="auto"/>
        <w:contextualSpacing/>
        <w:rPr>
          <w:rFonts w:ascii="Arial" w:eastAsia="Times New Roman" w:hAnsi="Arial" w:cs="Arial"/>
        </w:rPr>
      </w:pPr>
      <w:r>
        <w:rPr>
          <w:rFonts w:ascii="Arial" w:eastAsia="Times New Roman" w:hAnsi="Arial" w:cs="Arial"/>
        </w:rPr>
        <w:t xml:space="preserve">Since </w:t>
      </w:r>
      <w:proofErr w:type="gramStart"/>
      <w:r>
        <w:rPr>
          <w:rFonts w:ascii="Arial" w:eastAsia="Times New Roman" w:hAnsi="Arial" w:cs="Arial"/>
        </w:rPr>
        <w:t xml:space="preserve">2017  </w:t>
      </w:r>
      <w:r w:rsidR="00053CE7" w:rsidRPr="00AF4709">
        <w:rPr>
          <w:rFonts w:ascii="Arial" w:eastAsia="Times New Roman" w:hAnsi="Arial" w:cs="Arial"/>
        </w:rPr>
        <w:t>–</w:t>
      </w:r>
      <w:proofErr w:type="gramEnd"/>
      <w:r w:rsidR="00053CE7" w:rsidRPr="00AF4709">
        <w:rPr>
          <w:rFonts w:ascii="Arial" w:eastAsia="Times New Roman" w:hAnsi="Arial" w:cs="Arial"/>
        </w:rPr>
        <w:t xml:space="preserve"> </w:t>
      </w:r>
      <w:r>
        <w:rPr>
          <w:rFonts w:ascii="Arial" w:eastAsia="Times New Roman" w:hAnsi="Arial" w:cs="Arial"/>
        </w:rPr>
        <w:t xml:space="preserve">New Zealand </w:t>
      </w:r>
    </w:p>
    <w:p w14:paraId="3478DD31" w14:textId="4D464F46" w:rsidR="00F630AC" w:rsidRDefault="00F630AC" w:rsidP="00F630AC">
      <w:pPr>
        <w:numPr>
          <w:ilvl w:val="1"/>
          <w:numId w:val="9"/>
        </w:numPr>
        <w:spacing w:line="276" w:lineRule="auto"/>
        <w:contextualSpacing/>
        <w:rPr>
          <w:rFonts w:ascii="Arial" w:eastAsia="Times New Roman" w:hAnsi="Arial" w:cs="Arial"/>
        </w:rPr>
      </w:pPr>
      <w:r w:rsidRPr="00AF4709">
        <w:rPr>
          <w:rFonts w:ascii="Arial" w:eastAsia="Times New Roman" w:hAnsi="Arial" w:cs="Arial"/>
        </w:rPr>
        <w:lastRenderedPageBreak/>
        <w:t>Since 2018 – Pakistan</w:t>
      </w:r>
      <w:r w:rsidR="00C14CCA">
        <w:rPr>
          <w:rFonts w:ascii="Arial" w:eastAsia="Times New Roman" w:hAnsi="Arial" w:cs="Arial"/>
        </w:rPr>
        <w:t xml:space="preserve">, Brazil, Costa </w:t>
      </w:r>
      <w:proofErr w:type="gramStart"/>
      <w:r w:rsidR="00C14CCA">
        <w:rPr>
          <w:rFonts w:ascii="Arial" w:eastAsia="Times New Roman" w:hAnsi="Arial" w:cs="Arial"/>
        </w:rPr>
        <w:t>Rica</w:t>
      </w:r>
      <w:proofErr w:type="gramEnd"/>
      <w:r w:rsidRPr="00AF4709">
        <w:rPr>
          <w:rFonts w:ascii="Arial" w:eastAsia="Times New Roman" w:hAnsi="Arial" w:cs="Arial"/>
        </w:rPr>
        <w:t xml:space="preserve"> and Portugal</w:t>
      </w:r>
    </w:p>
    <w:p w14:paraId="071A6DCE" w14:textId="050C25DF" w:rsidR="00C14CCA" w:rsidRDefault="00C14CCA" w:rsidP="00F630AC">
      <w:pPr>
        <w:numPr>
          <w:ilvl w:val="1"/>
          <w:numId w:val="9"/>
        </w:numPr>
        <w:spacing w:line="276" w:lineRule="auto"/>
        <w:contextualSpacing/>
        <w:rPr>
          <w:rFonts w:ascii="Arial" w:eastAsia="Times New Roman" w:hAnsi="Arial" w:cs="Arial"/>
        </w:rPr>
      </w:pPr>
      <w:r>
        <w:rPr>
          <w:rFonts w:ascii="Arial" w:eastAsia="Times New Roman" w:hAnsi="Arial" w:cs="Arial"/>
        </w:rPr>
        <w:t>Since 2019 – Chile, Cyprus, Uruguay, India</w:t>
      </w:r>
    </w:p>
    <w:p w14:paraId="3E1584D9" w14:textId="18EDB211" w:rsidR="00C14CCA" w:rsidRDefault="00C14CCA" w:rsidP="00F630AC">
      <w:pPr>
        <w:numPr>
          <w:ilvl w:val="1"/>
          <w:numId w:val="9"/>
        </w:numPr>
        <w:spacing w:line="276" w:lineRule="auto"/>
        <w:contextualSpacing/>
        <w:rPr>
          <w:rFonts w:ascii="Arial" w:eastAsia="Times New Roman" w:hAnsi="Arial" w:cs="Arial"/>
        </w:rPr>
      </w:pPr>
      <w:r>
        <w:rPr>
          <w:rFonts w:ascii="Arial" w:eastAsia="Times New Roman" w:hAnsi="Arial" w:cs="Arial"/>
        </w:rPr>
        <w:t xml:space="preserve">Since 2021 – Germany </w:t>
      </w:r>
    </w:p>
    <w:p w14:paraId="71D4E407" w14:textId="1754ACA5" w:rsidR="00C14CCA" w:rsidRDefault="00C14CCA" w:rsidP="00F630AC">
      <w:pPr>
        <w:numPr>
          <w:ilvl w:val="1"/>
          <w:numId w:val="9"/>
        </w:numPr>
        <w:spacing w:line="276" w:lineRule="auto"/>
        <w:contextualSpacing/>
        <w:rPr>
          <w:rFonts w:ascii="Arial" w:eastAsia="Times New Roman" w:hAnsi="Arial" w:cs="Arial"/>
        </w:rPr>
      </w:pPr>
      <w:r>
        <w:rPr>
          <w:rFonts w:ascii="Arial" w:eastAsia="Times New Roman" w:hAnsi="Arial" w:cs="Arial"/>
        </w:rPr>
        <w:t xml:space="preserve">Since 2022 – Switzerland </w:t>
      </w:r>
    </w:p>
    <w:p w14:paraId="266FE55F" w14:textId="77777777" w:rsidR="00053CE7" w:rsidRPr="00AF4709" w:rsidRDefault="00053CE7" w:rsidP="00053CE7">
      <w:pPr>
        <w:spacing w:line="276" w:lineRule="auto"/>
        <w:ind w:left="1080"/>
        <w:contextualSpacing/>
        <w:rPr>
          <w:rFonts w:ascii="Arial" w:eastAsia="Times New Roman" w:hAnsi="Arial" w:cs="Arial"/>
        </w:rPr>
      </w:pPr>
    </w:p>
    <w:p w14:paraId="1BCA6E94" w14:textId="77777777" w:rsidR="00F630AC" w:rsidRPr="00AF4709" w:rsidRDefault="00F630AC" w:rsidP="00053CE7">
      <w:pPr>
        <w:spacing w:line="276" w:lineRule="auto"/>
        <w:contextualSpacing/>
        <w:rPr>
          <w:rFonts w:ascii="Arial" w:eastAsia="Times New Roman" w:hAnsi="Arial" w:cs="Arial"/>
        </w:rPr>
      </w:pPr>
      <w:r w:rsidRPr="00AF4709">
        <w:rPr>
          <w:rFonts w:ascii="Arial" w:eastAsia="Times New Roman" w:hAnsi="Arial" w:cs="Arial"/>
        </w:rPr>
        <w:t>Governments, single-sex service providers and the criminal justice sectors in these countries have not reported any negative impacts in implementation.</w:t>
      </w:r>
    </w:p>
    <w:p w14:paraId="4000EC12" w14:textId="77777777" w:rsidR="00F630AC" w:rsidRPr="00AF4709" w:rsidRDefault="00F630AC" w:rsidP="00F630AC">
      <w:pPr>
        <w:spacing w:line="276" w:lineRule="auto"/>
        <w:ind w:left="851"/>
        <w:contextualSpacing/>
        <w:rPr>
          <w:rFonts w:ascii="Arial" w:eastAsia="Times New Roman" w:hAnsi="Arial" w:cs="Arial"/>
        </w:rPr>
      </w:pPr>
    </w:p>
    <w:p w14:paraId="7E6D533D" w14:textId="77777777" w:rsidR="00F630AC" w:rsidRPr="00AF4709" w:rsidRDefault="00F630AC" w:rsidP="00F630AC">
      <w:pPr>
        <w:spacing w:line="276" w:lineRule="auto"/>
        <w:rPr>
          <w:rFonts w:ascii="Arial" w:eastAsia="Times New Roman" w:hAnsi="Arial" w:cs="Arial"/>
          <w:b/>
        </w:rPr>
      </w:pPr>
      <w:r w:rsidRPr="00AF4709">
        <w:rPr>
          <w:rFonts w:ascii="Arial" w:eastAsia="Times New Roman" w:hAnsi="Arial" w:cs="Arial"/>
          <w:b/>
        </w:rPr>
        <w:t>Age:</w:t>
      </w:r>
    </w:p>
    <w:p w14:paraId="431F5028" w14:textId="77777777" w:rsidR="00F630AC" w:rsidRPr="00AF4709" w:rsidRDefault="00F630AC" w:rsidP="00F630AC">
      <w:pPr>
        <w:numPr>
          <w:ilvl w:val="0"/>
          <w:numId w:val="10"/>
        </w:numPr>
        <w:spacing w:line="276" w:lineRule="auto"/>
        <w:ind w:left="709"/>
        <w:contextualSpacing/>
        <w:rPr>
          <w:rFonts w:ascii="Arial" w:eastAsia="Times New Roman" w:hAnsi="Arial" w:cs="Arial"/>
        </w:rPr>
      </w:pPr>
      <w:r w:rsidRPr="00AF4709">
        <w:rPr>
          <w:rFonts w:ascii="Arial" w:eastAsia="Times New Roman" w:hAnsi="Arial" w:cs="Arial"/>
        </w:rPr>
        <w:t xml:space="preserve">In Argentina, Australian Capital Territory, British Columbia (Canada) and Malta there is no lower age limit for parental application for legal gender recognition for a child. </w:t>
      </w:r>
    </w:p>
    <w:p w14:paraId="2352F842" w14:textId="77777777" w:rsidR="00F630AC" w:rsidRPr="00AF4709" w:rsidRDefault="00F630AC" w:rsidP="00F630AC">
      <w:pPr>
        <w:numPr>
          <w:ilvl w:val="0"/>
          <w:numId w:val="10"/>
        </w:numPr>
        <w:spacing w:line="276" w:lineRule="auto"/>
        <w:ind w:left="709"/>
        <w:contextualSpacing/>
        <w:rPr>
          <w:rFonts w:ascii="Arial" w:eastAsia="Times New Roman" w:hAnsi="Arial" w:cs="Arial"/>
        </w:rPr>
      </w:pPr>
      <w:r w:rsidRPr="00AF4709">
        <w:rPr>
          <w:rFonts w:ascii="Arial" w:eastAsia="Times New Roman" w:hAnsi="Arial" w:cs="Arial"/>
        </w:rPr>
        <w:t>In Norway, parental application is accepted for children with a minimum age of six.</w:t>
      </w:r>
    </w:p>
    <w:p w14:paraId="410ABAC4" w14:textId="77777777" w:rsidR="00F630AC" w:rsidRPr="00AF4709" w:rsidRDefault="00F630AC" w:rsidP="00F630AC">
      <w:pPr>
        <w:numPr>
          <w:ilvl w:val="0"/>
          <w:numId w:val="10"/>
        </w:numPr>
        <w:spacing w:line="276" w:lineRule="auto"/>
        <w:ind w:left="709"/>
        <w:contextualSpacing/>
        <w:rPr>
          <w:rFonts w:ascii="Arial" w:eastAsia="Times New Roman" w:hAnsi="Arial" w:cs="Arial"/>
        </w:rPr>
      </w:pPr>
      <w:r w:rsidRPr="00AF4709">
        <w:rPr>
          <w:rFonts w:ascii="Arial" w:eastAsia="Times New Roman" w:hAnsi="Arial" w:cs="Arial"/>
        </w:rPr>
        <w:t>Legislation in these countries refers to the United Nations Convention for the Rights of Children</w:t>
      </w:r>
      <w:r>
        <w:rPr>
          <w:rFonts w:ascii="Arial" w:eastAsia="Times New Roman" w:hAnsi="Arial" w:cs="Arial"/>
        </w:rPr>
        <w:t xml:space="preserve"> </w:t>
      </w:r>
      <w:r w:rsidRPr="00AF4709">
        <w:rPr>
          <w:rFonts w:ascii="Arial" w:eastAsia="Times New Roman" w:hAnsi="Arial" w:cs="Arial"/>
        </w:rPr>
        <w:t xml:space="preserve">and taking the child’s best interests and views into account. If the consent of parents or guardians is unobtainable, courts can rule that children should have their gender legally recognised if that would be in their best interest. </w:t>
      </w:r>
    </w:p>
    <w:p w14:paraId="53ABD349" w14:textId="77777777" w:rsidR="00F630AC" w:rsidRPr="00AF4709" w:rsidRDefault="00F630AC" w:rsidP="00F630AC">
      <w:pPr>
        <w:numPr>
          <w:ilvl w:val="0"/>
          <w:numId w:val="10"/>
        </w:numPr>
        <w:spacing w:line="276" w:lineRule="auto"/>
        <w:ind w:left="709"/>
        <w:contextualSpacing/>
        <w:rPr>
          <w:rFonts w:ascii="Arial" w:eastAsia="Times New Roman" w:hAnsi="Arial" w:cs="Arial"/>
        </w:rPr>
      </w:pPr>
      <w:r w:rsidRPr="00AF4709">
        <w:rPr>
          <w:rFonts w:ascii="Arial" w:eastAsia="Times New Roman" w:hAnsi="Arial" w:cs="Arial"/>
        </w:rPr>
        <w:t>Allowing legal gender recognition for young people does not affect the criteria for access to gender reassignment medical treatments such as cross-sex hormones (16+) and genital surgeries (18+).</w:t>
      </w:r>
    </w:p>
    <w:p w14:paraId="01D56872" w14:textId="77777777" w:rsidR="00F630AC" w:rsidRPr="00AF4709" w:rsidRDefault="00F630AC" w:rsidP="00F630AC">
      <w:pPr>
        <w:spacing w:line="276" w:lineRule="auto"/>
        <w:ind w:left="709"/>
        <w:contextualSpacing/>
        <w:rPr>
          <w:rFonts w:ascii="Arial" w:eastAsia="Times New Roman" w:hAnsi="Arial" w:cs="Arial"/>
        </w:rPr>
      </w:pPr>
    </w:p>
    <w:p w14:paraId="7314977B" w14:textId="77777777" w:rsidR="00F630AC" w:rsidRPr="00AF4709" w:rsidRDefault="00F630AC" w:rsidP="00F630AC">
      <w:pPr>
        <w:spacing w:line="276" w:lineRule="auto"/>
        <w:rPr>
          <w:rFonts w:ascii="Arial" w:eastAsia="Times New Roman" w:hAnsi="Arial" w:cs="Arial"/>
          <w:b/>
        </w:rPr>
      </w:pPr>
      <w:r w:rsidRPr="00AF4709">
        <w:rPr>
          <w:rFonts w:ascii="Arial" w:eastAsia="Times New Roman" w:hAnsi="Arial" w:cs="Arial"/>
          <w:b/>
        </w:rPr>
        <w:t>Non-binary recognition:</w:t>
      </w:r>
    </w:p>
    <w:p w14:paraId="7804411E" w14:textId="77777777" w:rsidR="00F630AC" w:rsidRPr="00AF4709" w:rsidRDefault="00F630AC" w:rsidP="00F630AC">
      <w:pPr>
        <w:numPr>
          <w:ilvl w:val="0"/>
          <w:numId w:val="11"/>
        </w:numPr>
        <w:spacing w:line="276" w:lineRule="auto"/>
        <w:ind w:left="709"/>
        <w:contextualSpacing/>
        <w:rPr>
          <w:rFonts w:ascii="Arial" w:eastAsia="Times New Roman" w:hAnsi="Arial" w:cs="Arial"/>
        </w:rPr>
      </w:pPr>
      <w:r w:rsidRPr="00AF4709">
        <w:rPr>
          <w:rFonts w:ascii="Arial" w:eastAsia="Times New Roman" w:hAnsi="Arial" w:cs="Arial"/>
        </w:rPr>
        <w:t xml:space="preserve">Malta, Argentina, Australia (most states and territories) and Oregon and California (USA) all provide for non-binary people to have their gender fully legally recognised. </w:t>
      </w:r>
    </w:p>
    <w:p w14:paraId="56432158" w14:textId="77777777" w:rsidR="00F630AC" w:rsidRPr="00AF4709" w:rsidRDefault="00F630AC" w:rsidP="00F630AC">
      <w:pPr>
        <w:numPr>
          <w:ilvl w:val="0"/>
          <w:numId w:val="11"/>
        </w:numPr>
        <w:spacing w:line="276" w:lineRule="auto"/>
        <w:ind w:left="709"/>
        <w:contextualSpacing/>
        <w:rPr>
          <w:rFonts w:ascii="Arial" w:eastAsia="Times New Roman" w:hAnsi="Arial" w:cs="Arial"/>
        </w:rPr>
      </w:pPr>
      <w:r w:rsidRPr="00AF4709">
        <w:rPr>
          <w:rFonts w:ascii="Arial" w:eastAsia="Times New Roman" w:hAnsi="Arial" w:cs="Arial"/>
        </w:rPr>
        <w:t>Denmark, Australia, New Zealand, Bangladesh, India, Pakistan, Nepal, Canada, Iceland, Uruguay, 14 states in the United states of America and Germany all allow non-binary people to be recognised on some legal documents, such as passports, driver’s licences or voter registration cards.</w:t>
      </w:r>
    </w:p>
    <w:p w14:paraId="0D72BA4C" w14:textId="77777777" w:rsidR="00900681" w:rsidRDefault="00900681" w:rsidP="00925F0D">
      <w:pPr>
        <w:spacing w:line="276" w:lineRule="auto"/>
        <w:rPr>
          <w:rFonts w:ascii="Arial" w:eastAsia="Times New Roman" w:hAnsi="Arial" w:cs="Arial"/>
          <w:b/>
        </w:rPr>
      </w:pPr>
    </w:p>
    <w:p w14:paraId="677484CB" w14:textId="09E41127" w:rsidR="00925F0D" w:rsidRPr="00AF4709" w:rsidRDefault="00925F0D" w:rsidP="00925F0D">
      <w:pPr>
        <w:spacing w:line="276" w:lineRule="auto"/>
        <w:rPr>
          <w:rFonts w:ascii="Arial" w:eastAsia="Times New Roman" w:hAnsi="Arial" w:cs="Arial"/>
          <w:b/>
        </w:rPr>
      </w:pPr>
      <w:r w:rsidRPr="00AF4709">
        <w:rPr>
          <w:rFonts w:ascii="Arial" w:eastAsia="Times New Roman" w:hAnsi="Arial" w:cs="Arial"/>
          <w:b/>
        </w:rPr>
        <w:t>What MPs and Peers can do</w:t>
      </w:r>
    </w:p>
    <w:p w14:paraId="3439F286" w14:textId="4F761860" w:rsidR="00900681" w:rsidRDefault="00925F0D" w:rsidP="00E4162E">
      <w:pPr>
        <w:spacing w:line="276" w:lineRule="auto"/>
        <w:rPr>
          <w:rFonts w:ascii="Arial" w:eastAsia="Times New Roman" w:hAnsi="Arial" w:cs="Arial"/>
        </w:rPr>
      </w:pPr>
      <w:r w:rsidRPr="00AF4709">
        <w:rPr>
          <w:rFonts w:ascii="Arial" w:eastAsia="Times New Roman" w:hAnsi="Arial" w:cs="Arial"/>
        </w:rPr>
        <w:t>The controversy and misunderstandings in the debate on reforming the Gender Recognition Act have led to trans people feeling very much under attack.  MPs and Peers can have a key role in being clear about their support for trans people and trans equality.  They can reassure colleagues, constituents and others about proposed reforms and offer information in place of myths and unfounded fears. You can also add your name to letters in support of change, share information on social media and of course vote for positive amendments to the GRA.</w:t>
      </w:r>
    </w:p>
    <w:p w14:paraId="009207FA" w14:textId="77777777" w:rsidR="00E4162E" w:rsidRPr="00E4162E" w:rsidRDefault="00E4162E" w:rsidP="00E4162E">
      <w:pPr>
        <w:spacing w:line="276" w:lineRule="auto"/>
        <w:rPr>
          <w:rFonts w:ascii="Arial" w:eastAsia="Times New Roman" w:hAnsi="Arial" w:cs="Arial"/>
        </w:rPr>
      </w:pPr>
    </w:p>
    <w:p w14:paraId="26810DB2" w14:textId="6E39A348" w:rsidR="00925F0D" w:rsidRPr="00AF4709" w:rsidRDefault="00925F0D" w:rsidP="00925F0D">
      <w:pPr>
        <w:spacing w:line="360" w:lineRule="auto"/>
        <w:rPr>
          <w:rFonts w:ascii="Arial" w:eastAsia="Times New Roman" w:hAnsi="Arial" w:cs="Arial"/>
          <w:b/>
          <w:i/>
        </w:rPr>
      </w:pPr>
      <w:r w:rsidRPr="00AF4709">
        <w:rPr>
          <w:rFonts w:ascii="Arial" w:eastAsia="Times New Roman" w:hAnsi="Arial" w:cs="Arial"/>
          <w:b/>
          <w:i/>
        </w:rPr>
        <w:t>What CLPs can do</w:t>
      </w:r>
    </w:p>
    <w:p w14:paraId="3FF72222" w14:textId="551E140A"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It has never been more important for non-trans people to show that they want to be good allies to trans people. UNISON has produced guidance</w:t>
      </w:r>
      <w:r w:rsidR="00E4162E">
        <w:rPr>
          <w:rFonts w:ascii="Arial" w:eastAsia="Times New Roman" w:hAnsi="Arial" w:cs="Arial"/>
          <w:i/>
        </w:rPr>
        <w:t xml:space="preserve"> and training</w:t>
      </w:r>
      <w:r w:rsidRPr="00AF4709">
        <w:rPr>
          <w:rFonts w:ascii="Arial" w:eastAsia="Times New Roman" w:hAnsi="Arial" w:cs="Arial"/>
          <w:i/>
        </w:rPr>
        <w:t xml:space="preserve"> for its members on how to be a good trans ally. CLPs may wish to agree a motion expressing, or reaffirming,</w:t>
      </w:r>
      <w:r w:rsidRPr="00AF4709">
        <w:rPr>
          <w:rFonts w:ascii="Arial" w:eastAsia="Times New Roman" w:hAnsi="Arial" w:cs="Arial"/>
          <w:i/>
          <w:color w:val="FF0000"/>
        </w:rPr>
        <w:t xml:space="preserve"> </w:t>
      </w:r>
      <w:r w:rsidRPr="00AF4709">
        <w:rPr>
          <w:rFonts w:ascii="Arial" w:eastAsia="Times New Roman" w:hAnsi="Arial" w:cs="Arial"/>
          <w:i/>
        </w:rPr>
        <w:t xml:space="preserve">their support for trans equality. </w:t>
      </w:r>
    </w:p>
    <w:p w14:paraId="23448105" w14:textId="77777777" w:rsidR="00925F0D" w:rsidRPr="00AF4709" w:rsidRDefault="00925F0D" w:rsidP="00900681">
      <w:pPr>
        <w:spacing w:line="276" w:lineRule="auto"/>
        <w:rPr>
          <w:rFonts w:ascii="Arial" w:eastAsia="Times New Roman" w:hAnsi="Arial" w:cs="Arial"/>
          <w:b/>
          <w:i/>
        </w:rPr>
      </w:pPr>
      <w:r w:rsidRPr="00AF4709">
        <w:rPr>
          <w:rFonts w:ascii="Arial" w:eastAsia="Times New Roman" w:hAnsi="Arial" w:cs="Arial"/>
          <w:b/>
          <w:i/>
        </w:rPr>
        <w:t xml:space="preserve">Model CLP motion </w:t>
      </w:r>
    </w:p>
    <w:p w14:paraId="161671A3"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 xml:space="preserve">“This CLP celebrates the role of women in the labour movement and the Labour Party’s commitment to women’s equality. We affirm our commitment to tackling sexism, </w:t>
      </w:r>
      <w:proofErr w:type="gramStart"/>
      <w:r w:rsidRPr="00AF4709">
        <w:rPr>
          <w:rFonts w:ascii="Arial" w:eastAsia="Times New Roman" w:hAnsi="Arial" w:cs="Arial"/>
          <w:i/>
        </w:rPr>
        <w:t>discrimination</w:t>
      </w:r>
      <w:proofErr w:type="gramEnd"/>
      <w:r w:rsidRPr="00AF4709">
        <w:rPr>
          <w:rFonts w:ascii="Arial" w:eastAsia="Times New Roman" w:hAnsi="Arial" w:cs="Arial"/>
          <w:i/>
        </w:rPr>
        <w:t xml:space="preserve"> and harassment of women. We note the diversity of women and the impact of intersectionality:  race, age, disability, sexual orientation, gender identity, gender expression, </w:t>
      </w:r>
      <w:proofErr w:type="gramStart"/>
      <w:r w:rsidRPr="00AF4709">
        <w:rPr>
          <w:rFonts w:ascii="Arial" w:eastAsia="Times New Roman" w:hAnsi="Arial" w:cs="Arial"/>
          <w:i/>
        </w:rPr>
        <w:t>poverty</w:t>
      </w:r>
      <w:proofErr w:type="gramEnd"/>
      <w:r w:rsidRPr="00AF4709">
        <w:rPr>
          <w:rFonts w:ascii="Arial" w:eastAsia="Times New Roman" w:hAnsi="Arial" w:cs="Arial"/>
          <w:i/>
        </w:rPr>
        <w:t xml:space="preserve"> and other factors all impact on women’s experiences and risk of discrimination.</w:t>
      </w:r>
    </w:p>
    <w:p w14:paraId="35FC081B"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“This CLP notes that trans people face particularly high levels of discrimination at work, when receiving services and in public. We welcome Labour’s track record on trans equality, including encouraging trans participation in public life and in the Party and in working to strengthen trans equality laws.</w:t>
      </w:r>
    </w:p>
    <w:p w14:paraId="5F5627DF"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“We welcome calls for the Gender Recognition Act 2004 to be updated, in line with international human rights best practice. This would base the legal process of gender recognition on the declaration of the individual concerned, rather than a person’s gender being ‘judged’ by a panel of medical and legal ‘experts’, as it is now.  This would bring the process for updating birth certificates in line with the current process for updating all other UK ID.</w:t>
      </w:r>
    </w:p>
    <w:p w14:paraId="69DF74B5"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 xml:space="preserve">“We are concerned at attempts to oppose reform which spreads doubt and confusion. Suggestions that trans rights and women’s rights are opposed to each other and that trans equality puts women’s safety at risk are not supported by evidence. However unintended, they contribute to the discrimination and harassment of trans people.  </w:t>
      </w:r>
    </w:p>
    <w:p w14:paraId="0F2D8571"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“They contrast sharply with inclusive and progressive voices within women’s movements who welcome the proposed reforms.</w:t>
      </w:r>
    </w:p>
    <w:p w14:paraId="1DEA7C2E"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“This CLP resolves to:</w:t>
      </w:r>
    </w:p>
    <w:p w14:paraId="47AAB4F8" w14:textId="77777777" w:rsidR="00925F0D" w:rsidRPr="00AF4709" w:rsidRDefault="00925F0D" w:rsidP="00900681">
      <w:pPr>
        <w:numPr>
          <w:ilvl w:val="0"/>
          <w:numId w:val="12"/>
        </w:numPr>
        <w:spacing w:line="276" w:lineRule="auto"/>
        <w:contextualSpacing/>
        <w:rPr>
          <w:rFonts w:ascii="Arial" w:eastAsia="Times New Roman" w:hAnsi="Arial" w:cs="Arial"/>
          <w:i/>
        </w:rPr>
      </w:pPr>
      <w:r w:rsidRPr="00AF4709">
        <w:rPr>
          <w:rFonts w:ascii="Arial" w:eastAsia="Times New Roman" w:hAnsi="Arial" w:cs="Arial"/>
          <w:i/>
        </w:rPr>
        <w:t>Reaffirm that trans women are women and trans men are men and that trans rights are no threat to women’s rights</w:t>
      </w:r>
    </w:p>
    <w:p w14:paraId="7AED7A23" w14:textId="2325C46D" w:rsidR="00925F0D" w:rsidRDefault="00925F0D" w:rsidP="00900681">
      <w:pPr>
        <w:numPr>
          <w:ilvl w:val="0"/>
          <w:numId w:val="12"/>
        </w:numPr>
        <w:spacing w:line="276" w:lineRule="auto"/>
        <w:contextualSpacing/>
        <w:rPr>
          <w:rFonts w:ascii="Arial" w:eastAsia="Times New Roman" w:hAnsi="Arial" w:cs="Arial"/>
          <w:i/>
        </w:rPr>
      </w:pPr>
      <w:r w:rsidRPr="00AF4709">
        <w:rPr>
          <w:rFonts w:ascii="Arial" w:eastAsia="Times New Roman" w:hAnsi="Arial" w:cs="Arial"/>
          <w:i/>
        </w:rPr>
        <w:lastRenderedPageBreak/>
        <w:t>Encourage all members to be active allies for trans equality, supporting trans members and speaking up for trans equality</w:t>
      </w:r>
    </w:p>
    <w:p w14:paraId="7AED3EB8" w14:textId="77777777" w:rsidR="00A43CC5" w:rsidRPr="00AF4709" w:rsidRDefault="00A43CC5" w:rsidP="00900681">
      <w:pPr>
        <w:numPr>
          <w:ilvl w:val="0"/>
          <w:numId w:val="12"/>
        </w:numPr>
        <w:spacing w:line="276" w:lineRule="auto"/>
        <w:contextualSpacing/>
        <w:rPr>
          <w:rFonts w:ascii="Arial" w:eastAsia="Times New Roman" w:hAnsi="Arial" w:cs="Arial"/>
          <w:i/>
        </w:rPr>
      </w:pPr>
    </w:p>
    <w:p w14:paraId="03738E13" w14:textId="77777777" w:rsidR="00925F0D" w:rsidRPr="00AF4709" w:rsidRDefault="00925F0D" w:rsidP="00900681">
      <w:pPr>
        <w:shd w:val="clear" w:color="auto" w:fill="FFFFFF"/>
        <w:spacing w:line="276" w:lineRule="auto"/>
        <w:rPr>
          <w:rFonts w:ascii="Arial" w:eastAsia="Times New Roman" w:hAnsi="Arial" w:cs="Arial"/>
          <w:i/>
          <w:lang w:eastAsia="en-GB"/>
        </w:rPr>
      </w:pPr>
      <w:r w:rsidRPr="00AF4709">
        <w:rPr>
          <w:rFonts w:ascii="Arial" w:eastAsia="Times New Roman" w:hAnsi="Arial" w:cs="Arial"/>
          <w:i/>
          <w:lang w:eastAsia="en-GB"/>
        </w:rPr>
        <w:t>“The Labour Party is the party of equality, diversity and inclusion, and we must all act as such.</w:t>
      </w:r>
    </w:p>
    <w:p w14:paraId="3572FC69"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 xml:space="preserve">Or </w:t>
      </w:r>
    </w:p>
    <w:p w14:paraId="174A2A61"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 xml:space="preserve">“This CLP continues to celebrate the role of women in the labour movement and the Labour Party’s commitment to women’s equality. We reaffirm our commitment to tackling sexism, </w:t>
      </w:r>
      <w:proofErr w:type="gramStart"/>
      <w:r w:rsidRPr="00AF4709">
        <w:rPr>
          <w:rFonts w:ascii="Arial" w:eastAsia="Times New Roman" w:hAnsi="Arial" w:cs="Arial"/>
          <w:i/>
        </w:rPr>
        <w:t>discrimination</w:t>
      </w:r>
      <w:proofErr w:type="gramEnd"/>
      <w:r w:rsidRPr="00AF4709">
        <w:rPr>
          <w:rFonts w:ascii="Arial" w:eastAsia="Times New Roman" w:hAnsi="Arial" w:cs="Arial"/>
          <w:i/>
        </w:rPr>
        <w:t xml:space="preserve"> and harassment of women. We note the diversity of women and the impact of intersectionality:  race, age, disability, sexual orientation, gender identity, gender expression, </w:t>
      </w:r>
      <w:proofErr w:type="gramStart"/>
      <w:r w:rsidRPr="00AF4709">
        <w:rPr>
          <w:rFonts w:ascii="Arial" w:eastAsia="Times New Roman" w:hAnsi="Arial" w:cs="Arial"/>
          <w:i/>
        </w:rPr>
        <w:t>poverty</w:t>
      </w:r>
      <w:proofErr w:type="gramEnd"/>
      <w:r w:rsidRPr="00AF4709">
        <w:rPr>
          <w:rFonts w:ascii="Arial" w:eastAsia="Times New Roman" w:hAnsi="Arial" w:cs="Arial"/>
          <w:i/>
        </w:rPr>
        <w:t xml:space="preserve"> and other factors all impact on women’s experiences and risk of discrimination.</w:t>
      </w:r>
    </w:p>
    <w:p w14:paraId="636513C8"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“This CLP notes that trans people continue to face particularly high levels of discrimination at work, when receiving services and in public. We welcome Labour’s track record on trans equality, including encouraging trans participation in public life and in the Party and in working to strengthen trans equality laws.</w:t>
      </w:r>
    </w:p>
    <w:p w14:paraId="2FE8D903"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“We continue to call for the Gender Recognition Act 2004 to be updated, in line with international human rights best practice. This would base the legal process of gender recognition on the declaration of the individual concerned, rather than a person’s gender being ‘judged’ by a panel of medical and legal ‘experts’, as it is now.  This would bring the process for updating birth certificates in line with the current process for updating all other UK ID.</w:t>
      </w:r>
    </w:p>
    <w:p w14:paraId="514F676E"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 xml:space="preserve">“We are concerned at attempts to oppose reform which spreads doubt and confusion. Suggestions that trans rights and women’s rights are opposed to each other and that trans equality puts women’s safety at risk are not supported by evidence. However unintended, they contribute to the discrimination and harassment of trans people.  </w:t>
      </w:r>
    </w:p>
    <w:p w14:paraId="6E3FD1E2"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“They contrast sharply with inclusive and progressive voices within women’s movements who welcome the proposed reforms.</w:t>
      </w:r>
    </w:p>
    <w:p w14:paraId="07E3960E"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“This CLP reconfirms its position:</w:t>
      </w:r>
    </w:p>
    <w:p w14:paraId="41005594" w14:textId="77777777" w:rsidR="00925F0D" w:rsidRPr="00AF4709" w:rsidRDefault="00925F0D" w:rsidP="00900681">
      <w:pPr>
        <w:numPr>
          <w:ilvl w:val="0"/>
          <w:numId w:val="13"/>
        </w:numPr>
        <w:spacing w:line="276" w:lineRule="auto"/>
        <w:contextualSpacing/>
        <w:rPr>
          <w:rFonts w:ascii="Arial" w:eastAsia="Times New Roman" w:hAnsi="Arial" w:cs="Arial"/>
          <w:i/>
        </w:rPr>
      </w:pPr>
      <w:r w:rsidRPr="00AF4709">
        <w:rPr>
          <w:rFonts w:ascii="Arial" w:eastAsia="Times New Roman" w:hAnsi="Arial" w:cs="Arial"/>
          <w:i/>
        </w:rPr>
        <w:t>That trans women are women and trans men are men and that trans rights are no threat to women’s rights</w:t>
      </w:r>
    </w:p>
    <w:p w14:paraId="44DFD4F9" w14:textId="77777777" w:rsidR="00925F0D" w:rsidRPr="00AF4709" w:rsidRDefault="00925F0D" w:rsidP="00900681">
      <w:pPr>
        <w:numPr>
          <w:ilvl w:val="0"/>
          <w:numId w:val="13"/>
        </w:numPr>
        <w:spacing w:line="276" w:lineRule="auto"/>
        <w:contextualSpacing/>
        <w:rPr>
          <w:rFonts w:ascii="Arial" w:eastAsia="Times New Roman" w:hAnsi="Arial" w:cs="Arial"/>
          <w:i/>
        </w:rPr>
      </w:pPr>
      <w:r w:rsidRPr="00AF4709">
        <w:rPr>
          <w:rFonts w:ascii="Arial" w:eastAsia="Times New Roman" w:hAnsi="Arial" w:cs="Arial"/>
          <w:i/>
        </w:rPr>
        <w:t>Encourage all members to be active allies for trans equality, supporting trans members and speaking up for trans equality</w:t>
      </w:r>
    </w:p>
    <w:p w14:paraId="59FA35DD" w14:textId="707F85C7" w:rsidR="00925F0D" w:rsidRDefault="00925F0D" w:rsidP="00900681">
      <w:pPr>
        <w:numPr>
          <w:ilvl w:val="0"/>
          <w:numId w:val="13"/>
        </w:numPr>
        <w:spacing w:line="276" w:lineRule="auto"/>
        <w:contextualSpacing/>
        <w:rPr>
          <w:rFonts w:ascii="Arial" w:eastAsia="Times New Roman" w:hAnsi="Arial" w:cs="Arial"/>
          <w:i/>
        </w:rPr>
      </w:pPr>
      <w:r w:rsidRPr="00AF4709">
        <w:rPr>
          <w:rFonts w:ascii="Arial" w:eastAsia="Times New Roman" w:hAnsi="Arial" w:cs="Arial"/>
          <w:i/>
        </w:rPr>
        <w:t xml:space="preserve">That the Labour Party is the party of equality, </w:t>
      </w:r>
      <w:proofErr w:type="gramStart"/>
      <w:r w:rsidRPr="00AF4709">
        <w:rPr>
          <w:rFonts w:ascii="Arial" w:eastAsia="Times New Roman" w:hAnsi="Arial" w:cs="Arial"/>
          <w:i/>
        </w:rPr>
        <w:t>diversity</w:t>
      </w:r>
      <w:proofErr w:type="gramEnd"/>
      <w:r w:rsidRPr="00AF4709">
        <w:rPr>
          <w:rFonts w:ascii="Arial" w:eastAsia="Times New Roman" w:hAnsi="Arial" w:cs="Arial"/>
          <w:i/>
        </w:rPr>
        <w:t xml:space="preserve"> and inclusion, and we must all act as such.</w:t>
      </w:r>
    </w:p>
    <w:p w14:paraId="673C207F" w14:textId="77777777" w:rsidR="00A43CC5" w:rsidRPr="00AF4709" w:rsidRDefault="00A43CC5" w:rsidP="003E34BA">
      <w:pPr>
        <w:spacing w:line="276" w:lineRule="auto"/>
        <w:ind w:left="720"/>
        <w:contextualSpacing/>
        <w:rPr>
          <w:rFonts w:ascii="Arial" w:eastAsia="Times New Roman" w:hAnsi="Arial" w:cs="Arial"/>
          <w:i/>
        </w:rPr>
      </w:pPr>
    </w:p>
    <w:p w14:paraId="3FBDD3A2" w14:textId="77777777" w:rsidR="00FA1F76" w:rsidRDefault="00925F0D" w:rsidP="003E34BA">
      <w:pPr>
        <w:spacing w:after="0"/>
        <w:rPr>
          <w:rFonts w:ascii="Arial" w:eastAsia="Times New Roman" w:hAnsi="Arial" w:cs="Arial"/>
          <w:b/>
          <w:i/>
        </w:rPr>
      </w:pPr>
      <w:r w:rsidRPr="00AF4709">
        <w:rPr>
          <w:rFonts w:ascii="Arial" w:eastAsia="Times New Roman" w:hAnsi="Arial" w:cs="Arial"/>
          <w:b/>
          <w:i/>
        </w:rPr>
        <w:lastRenderedPageBreak/>
        <w:t>For further information:</w:t>
      </w:r>
      <w:r w:rsidR="00FA1F76">
        <w:rPr>
          <w:rFonts w:ascii="Arial" w:eastAsia="Times New Roman" w:hAnsi="Arial" w:cs="Arial"/>
          <w:b/>
          <w:i/>
        </w:rPr>
        <w:tab/>
      </w:r>
      <w:r w:rsidR="00FA1F76">
        <w:rPr>
          <w:rFonts w:ascii="Arial" w:eastAsia="Times New Roman" w:hAnsi="Arial" w:cs="Arial"/>
          <w:b/>
          <w:i/>
        </w:rPr>
        <w:tab/>
      </w:r>
    </w:p>
    <w:p w14:paraId="3DE32D0C" w14:textId="24882A4D" w:rsidR="003E34BA" w:rsidRDefault="00E4162E" w:rsidP="003E34BA">
      <w:pPr>
        <w:spacing w:after="0"/>
        <w:rPr>
          <w:rFonts w:ascii="Arial" w:eastAsia="Times New Roman" w:hAnsi="Arial" w:cs="Arial"/>
          <w:i/>
        </w:rPr>
      </w:pPr>
      <w:r>
        <w:rPr>
          <w:rFonts w:ascii="Arial" w:eastAsia="Times New Roman" w:hAnsi="Arial" w:cs="Arial"/>
          <w:i/>
        </w:rPr>
        <w:t>Mitchell Coe</w:t>
      </w:r>
      <w:r w:rsidR="00925F0D" w:rsidRPr="00FA1F76">
        <w:rPr>
          <w:rFonts w:ascii="Arial" w:eastAsia="Times New Roman" w:hAnsi="Arial" w:cs="Arial"/>
          <w:i/>
        </w:rPr>
        <w:t>, national officer, LGBT+ equality</w:t>
      </w:r>
    </w:p>
    <w:p w14:paraId="11FB27B8" w14:textId="7C40559B" w:rsidR="00925F0D" w:rsidRPr="003E34BA" w:rsidRDefault="00B9293A" w:rsidP="003E34BA">
      <w:pPr>
        <w:spacing w:after="0"/>
        <w:rPr>
          <w:rFonts w:ascii="Arial" w:eastAsia="Times New Roman" w:hAnsi="Arial" w:cs="Arial"/>
          <w:iCs/>
        </w:rPr>
      </w:pPr>
      <w:hyperlink r:id="rId13" w:history="1">
        <w:r w:rsidR="00E4162E" w:rsidRPr="00DC43A2">
          <w:rPr>
            <w:rStyle w:val="Hyperlink"/>
            <w:rFonts w:ascii="Arial" w:eastAsia="Times New Roman" w:hAnsi="Arial" w:cs="Arial"/>
            <w:i/>
          </w:rPr>
          <w:t>m.coe@unison.co.uk</w:t>
        </w:r>
      </w:hyperlink>
      <w:r w:rsidR="00E4162E">
        <w:rPr>
          <w:rFonts w:ascii="Arial" w:eastAsia="Times New Roman" w:hAnsi="Arial" w:cs="Arial"/>
          <w:i/>
        </w:rPr>
        <w:t xml:space="preserve"> </w:t>
      </w:r>
      <w:r w:rsidR="00925F0D" w:rsidRPr="00FA1F76">
        <w:rPr>
          <w:rFonts w:ascii="Arial" w:eastAsia="Times New Roman" w:hAnsi="Arial" w:cs="Arial"/>
          <w:i/>
        </w:rPr>
        <w:t xml:space="preserve">  </w:t>
      </w:r>
      <w:proofErr w:type="gramStart"/>
      <w:r w:rsidR="00925F0D" w:rsidRPr="00FA1F76">
        <w:rPr>
          <w:rFonts w:ascii="Arial" w:eastAsia="Times New Roman" w:hAnsi="Arial" w:cs="Arial"/>
          <w:i/>
        </w:rPr>
        <w:t>-  @</w:t>
      </w:r>
      <w:proofErr w:type="gramEnd"/>
      <w:r w:rsidR="00925F0D" w:rsidRPr="00FA1F76">
        <w:rPr>
          <w:rFonts w:ascii="Arial" w:eastAsia="Times New Roman" w:hAnsi="Arial" w:cs="Arial"/>
          <w:i/>
        </w:rPr>
        <w:t>unisonLGBT</w:t>
      </w:r>
      <w:r w:rsidR="00E4162E">
        <w:rPr>
          <w:rFonts w:ascii="Arial" w:eastAsia="Times New Roman" w:hAnsi="Arial" w:cs="Arial"/>
          <w:i/>
        </w:rPr>
        <w:t>plus</w:t>
      </w:r>
      <w:r w:rsidR="003E34BA" w:rsidRPr="003E34BA">
        <w:rPr>
          <w:rFonts w:ascii="Arial" w:eastAsia="Times New Roman" w:hAnsi="Arial" w:cs="Arial"/>
          <w:iCs/>
        </w:rPr>
        <w:t xml:space="preserve"> </w:t>
      </w:r>
      <w:r w:rsidR="003E34BA">
        <w:rPr>
          <w:rFonts w:ascii="Arial" w:eastAsia="Times New Roman" w:hAnsi="Arial" w:cs="Arial"/>
          <w:iCs/>
        </w:rPr>
        <w:tab/>
      </w:r>
      <w:r w:rsidR="003E34BA">
        <w:rPr>
          <w:rFonts w:ascii="Arial" w:eastAsia="Times New Roman" w:hAnsi="Arial" w:cs="Arial"/>
          <w:iCs/>
        </w:rPr>
        <w:tab/>
      </w:r>
      <w:r w:rsidR="003E34BA">
        <w:rPr>
          <w:rFonts w:ascii="Arial" w:eastAsia="Times New Roman" w:hAnsi="Arial" w:cs="Arial"/>
          <w:iCs/>
        </w:rPr>
        <w:tab/>
      </w:r>
      <w:r w:rsidR="004C52F7">
        <w:rPr>
          <w:rFonts w:ascii="Arial" w:eastAsia="Times New Roman" w:hAnsi="Arial" w:cs="Arial"/>
          <w:iCs/>
        </w:rPr>
        <w:t>January</w:t>
      </w:r>
      <w:r w:rsidR="003E34BA" w:rsidRPr="004A39DF">
        <w:rPr>
          <w:rFonts w:ascii="Arial" w:eastAsia="Times New Roman" w:hAnsi="Arial" w:cs="Arial"/>
          <w:iCs/>
        </w:rPr>
        <w:t xml:space="preserve"> 202</w:t>
      </w:r>
      <w:r w:rsidR="00E4162E">
        <w:rPr>
          <w:rFonts w:ascii="Arial" w:eastAsia="Times New Roman" w:hAnsi="Arial" w:cs="Arial"/>
          <w:iCs/>
        </w:rPr>
        <w:t>3</w:t>
      </w:r>
    </w:p>
    <w:p w14:paraId="0A062D6E" w14:textId="77777777" w:rsidR="00E4162E" w:rsidRDefault="00E4162E" w:rsidP="009A4393">
      <w:pPr>
        <w:rPr>
          <w:rFonts w:ascii="Arial" w:eastAsia="Times New Roman" w:hAnsi="Arial" w:cs="Arial"/>
          <w:b/>
          <w:sz w:val="32"/>
          <w:lang w:eastAsia="en-GB"/>
        </w:rPr>
      </w:pPr>
    </w:p>
    <w:p w14:paraId="565780BB" w14:textId="06D674CA" w:rsidR="009A4393" w:rsidRPr="009F2245" w:rsidRDefault="009A4393" w:rsidP="009A4393">
      <w:pPr>
        <w:spacing w:line="276" w:lineRule="auto"/>
        <w:rPr>
          <w:rFonts w:ascii="Arial" w:eastAsia="Times New Roman" w:hAnsi="Arial" w:cs="Arial"/>
          <w:i/>
        </w:rPr>
      </w:pPr>
    </w:p>
    <w:sectPr w:rsidR="009A4393" w:rsidRPr="009F2245" w:rsidSect="00117153">
      <w:headerReference w:type="even" r:id="rId14"/>
      <w:headerReference w:type="default" r:id="rId15"/>
      <w:footerReference w:type="even" r:id="rId16"/>
      <w:footerReference w:type="default" r:id="rId17"/>
      <w:headerReference w:type="first" r:id="rId18"/>
      <w:footerReference w:type="first" r:id="rId19"/>
      <w:type w:val="continuous"/>
      <w:pgSz w:w="11900" w:h="16840"/>
      <w:pgMar w:top="3079" w:right="851" w:bottom="1701" w:left="851" w:header="0"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69C7" w14:textId="77777777" w:rsidR="00E34D5D" w:rsidRDefault="00E34D5D" w:rsidP="005C15C7">
      <w:pPr>
        <w:spacing w:after="0"/>
      </w:pPr>
      <w:r>
        <w:separator/>
      </w:r>
    </w:p>
  </w:endnote>
  <w:endnote w:type="continuationSeparator" w:id="0">
    <w:p w14:paraId="5BB4F320" w14:textId="77777777" w:rsidR="00E34D5D" w:rsidRDefault="00E34D5D" w:rsidP="005C1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EDBC" w14:textId="77777777" w:rsidR="00B96EA9" w:rsidRDefault="00B96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EDBD" w14:textId="77777777" w:rsidR="00B96EA9" w:rsidRDefault="00B96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EDBF" w14:textId="77777777" w:rsidR="00B96EA9" w:rsidRDefault="00B9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1C6B" w14:textId="77777777" w:rsidR="00E34D5D" w:rsidRDefault="00E34D5D" w:rsidP="005C15C7">
      <w:pPr>
        <w:spacing w:after="0"/>
      </w:pPr>
      <w:r>
        <w:separator/>
      </w:r>
    </w:p>
  </w:footnote>
  <w:footnote w:type="continuationSeparator" w:id="0">
    <w:p w14:paraId="20C41F40" w14:textId="77777777" w:rsidR="00E34D5D" w:rsidRDefault="00E34D5D" w:rsidP="005C1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EDBA" w14:textId="77777777" w:rsidR="00B96EA9" w:rsidRDefault="00B96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EDBB" w14:textId="03AF1D9A" w:rsidR="00117153" w:rsidRDefault="00B96EA9" w:rsidP="005C15C7">
    <w:pPr>
      <w:pStyle w:val="Header"/>
      <w:ind w:left="-851"/>
    </w:pPr>
    <w:r>
      <w:rPr>
        <w:rFonts w:hint="eastAsia"/>
        <w:noProof/>
        <w:lang w:eastAsia="en-GB"/>
      </w:rPr>
      <w:drawing>
        <wp:anchor distT="0" distB="0" distL="114300" distR="114300" simplePos="0" relativeHeight="251658240" behindDoc="1" locked="0" layoutInCell="1" allowOverlap="1" wp14:anchorId="1590EDC0" wp14:editId="1590EDC1">
          <wp:simplePos x="0" y="0"/>
          <wp:positionH relativeFrom="column">
            <wp:posOffset>-539750</wp:posOffset>
          </wp:positionH>
          <wp:positionV relativeFrom="paragraph">
            <wp:posOffset>0</wp:posOffset>
          </wp:positionV>
          <wp:extent cx="7594600" cy="1074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94600" cy="10747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oel="http://schemas.microsoft.com/office/2019/extlst"/>
                    </a:ext>
                  </a:extLst>
                </pic:spPr>
              </pic:pic>
            </a:graphicData>
          </a:graphic>
        </wp:anchor>
      </w:drawing>
    </w:r>
    <w:r w:rsidR="00A2034D">
      <w:rPr>
        <w:noProof/>
        <w:lang w:val="en-US" w:eastAsia="en-US"/>
      </w:rPr>
      <mc:AlternateContent>
        <mc:Choice Requires="wps">
          <w:drawing>
            <wp:anchor distT="0" distB="0" distL="114300" distR="114300" simplePos="0" relativeHeight="251659264" behindDoc="0" locked="0" layoutInCell="1" allowOverlap="1" wp14:anchorId="1590EDC2" wp14:editId="67AD7003">
              <wp:simplePos x="0" y="0"/>
              <wp:positionH relativeFrom="column">
                <wp:posOffset>-31115</wp:posOffset>
              </wp:positionH>
              <wp:positionV relativeFrom="paragraph">
                <wp:posOffset>459740</wp:posOffset>
              </wp:positionV>
              <wp:extent cx="3086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1590EDC3" w14:textId="77777777" w:rsidR="00117153" w:rsidRPr="00040DF1" w:rsidRDefault="00117153">
                          <w:pPr>
                            <w:rPr>
                              <w:rFonts w:ascii="Helvetica" w:hAnsi="Helvetica"/>
                              <w:color w:val="3E1151"/>
                              <w:sz w:val="84"/>
                              <w:szCs w:val="84"/>
                            </w:rPr>
                          </w:pPr>
                          <w:r w:rsidRPr="00040DF1">
                            <w:rPr>
                              <w:rFonts w:ascii="Helvetica" w:hAnsi="Helvetica"/>
                              <w:color w:val="3E1151"/>
                              <w:sz w:val="84"/>
                              <w:szCs w:val="84"/>
                            </w:rPr>
                            <w:t>Newsletter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590EDC2" id="_x0000_t202" coordsize="21600,21600" o:spt="202" path="m,l,21600r21600,l21600,xe">
              <v:stroke joinstyle="miter"/>
              <v:path gradientshapeok="t" o:connecttype="rect"/>
            </v:shapetype>
            <v:shape id="Text Box 2" o:spid="_x0000_s1026" type="#_x0000_t202" style="position:absolute;left:0;text-align:left;margin-left:-2.45pt;margin-top:36.2pt;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" filled="f" stroked="f">
              <v:textbox inset="0,0,0,0">
                <w:txbxContent>
                  <w:p w14:paraId="1590EDC3" w14:textId="77777777" w:rsidR="00117153" w:rsidRPr="00040DF1" w:rsidRDefault="00117153">
                    <w:pPr>
                      <w:rPr>
                        <w:rFonts w:ascii="Helvetica" w:hAnsi="Helvetica"/>
                        <w:color w:val="3E1151"/>
                        <w:sz w:val="84"/>
                        <w:szCs w:val="84"/>
                      </w:rPr>
                    </w:pPr>
                    <w:r w:rsidRPr="00040DF1">
                      <w:rPr>
                        <w:rFonts w:ascii="Helvetica" w:hAnsi="Helvetica"/>
                        <w:color w:val="3E1151"/>
                        <w:sz w:val="84"/>
                        <w:szCs w:val="84"/>
                      </w:rPr>
                      <w:t>Newsletter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EDBE" w14:textId="77777777" w:rsidR="00B96EA9" w:rsidRDefault="00B96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4C0"/>
    <w:multiLevelType w:val="hybridMultilevel"/>
    <w:tmpl w:val="3EA0D5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13571C2E"/>
    <w:multiLevelType w:val="hybridMultilevel"/>
    <w:tmpl w:val="45B0DFDE"/>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C406DA8"/>
    <w:multiLevelType w:val="hybridMultilevel"/>
    <w:tmpl w:val="3F646E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0C56F91"/>
    <w:multiLevelType w:val="hybridMultilevel"/>
    <w:tmpl w:val="C32ADA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235410F3"/>
    <w:multiLevelType w:val="hybridMultilevel"/>
    <w:tmpl w:val="C190219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2F297C19"/>
    <w:multiLevelType w:val="hybridMultilevel"/>
    <w:tmpl w:val="13DAD2AE"/>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32A0672C"/>
    <w:multiLevelType w:val="hybridMultilevel"/>
    <w:tmpl w:val="868C1F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418265D7"/>
    <w:multiLevelType w:val="hybridMultilevel"/>
    <w:tmpl w:val="827898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E282ADD"/>
    <w:multiLevelType w:val="hybridMultilevel"/>
    <w:tmpl w:val="4F5855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61A006C3"/>
    <w:multiLevelType w:val="hybridMultilevel"/>
    <w:tmpl w:val="33F6EB6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66FD4998"/>
    <w:multiLevelType w:val="hybridMultilevel"/>
    <w:tmpl w:val="065EA73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67B4212D"/>
    <w:multiLevelType w:val="hybridMultilevel"/>
    <w:tmpl w:val="E4AAC9B4"/>
    <w:lvl w:ilvl="0" w:tplc="08090003">
      <w:start w:val="1"/>
      <w:numFmt w:val="bullet"/>
      <w:lvlText w:val="o"/>
      <w:lvlJc w:val="left"/>
      <w:pPr>
        <w:ind w:left="108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28C2438"/>
    <w:multiLevelType w:val="hybridMultilevel"/>
    <w:tmpl w:val="5E0A019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89B2A5F"/>
    <w:multiLevelType w:val="hybridMultilevel"/>
    <w:tmpl w:val="6144D4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7A62671C"/>
    <w:multiLevelType w:val="hybridMultilevel"/>
    <w:tmpl w:val="B9629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7CBE6815"/>
    <w:multiLevelType w:val="hybridMultilevel"/>
    <w:tmpl w:val="EB081D6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C7"/>
    <w:rsid w:val="000213B6"/>
    <w:rsid w:val="00040DF1"/>
    <w:rsid w:val="00053CE7"/>
    <w:rsid w:val="000544B7"/>
    <w:rsid w:val="000D3153"/>
    <w:rsid w:val="001158EB"/>
    <w:rsid w:val="00117153"/>
    <w:rsid w:val="002044B9"/>
    <w:rsid w:val="00271095"/>
    <w:rsid w:val="00271937"/>
    <w:rsid w:val="002C3D02"/>
    <w:rsid w:val="002F1C7B"/>
    <w:rsid w:val="003E34BA"/>
    <w:rsid w:val="00416D58"/>
    <w:rsid w:val="004274DA"/>
    <w:rsid w:val="004A39DF"/>
    <w:rsid w:val="004C52F7"/>
    <w:rsid w:val="0059252F"/>
    <w:rsid w:val="005C15C7"/>
    <w:rsid w:val="006241B4"/>
    <w:rsid w:val="00681C3B"/>
    <w:rsid w:val="006A51B7"/>
    <w:rsid w:val="00707BA6"/>
    <w:rsid w:val="007412C7"/>
    <w:rsid w:val="0076493C"/>
    <w:rsid w:val="0078189E"/>
    <w:rsid w:val="0085139A"/>
    <w:rsid w:val="008F1EA3"/>
    <w:rsid w:val="008F6636"/>
    <w:rsid w:val="00900681"/>
    <w:rsid w:val="00925F0D"/>
    <w:rsid w:val="0094776A"/>
    <w:rsid w:val="009A4393"/>
    <w:rsid w:val="00A2034D"/>
    <w:rsid w:val="00A43CC5"/>
    <w:rsid w:val="00A87E47"/>
    <w:rsid w:val="00AB6BDB"/>
    <w:rsid w:val="00B10B2A"/>
    <w:rsid w:val="00B275C1"/>
    <w:rsid w:val="00B9293A"/>
    <w:rsid w:val="00B95FB1"/>
    <w:rsid w:val="00B96EA9"/>
    <w:rsid w:val="00BD37C4"/>
    <w:rsid w:val="00BE3E62"/>
    <w:rsid w:val="00C14CCA"/>
    <w:rsid w:val="00C14D95"/>
    <w:rsid w:val="00C565CB"/>
    <w:rsid w:val="00C94CE0"/>
    <w:rsid w:val="00CD4289"/>
    <w:rsid w:val="00D73F9D"/>
    <w:rsid w:val="00D85F73"/>
    <w:rsid w:val="00E20552"/>
    <w:rsid w:val="00E34D5D"/>
    <w:rsid w:val="00E4162E"/>
    <w:rsid w:val="00E66317"/>
    <w:rsid w:val="00E858F1"/>
    <w:rsid w:val="00EE3CB6"/>
    <w:rsid w:val="00EF28DA"/>
    <w:rsid w:val="00EF4FE0"/>
    <w:rsid w:val="00F0726A"/>
    <w:rsid w:val="00F1287D"/>
    <w:rsid w:val="00F630AC"/>
    <w:rsid w:val="00FA1F7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590EDB3"/>
  <w15:docId w15:val="{515B690F-1EFA-4A7A-AC1C-03D007D4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40DF1"/>
    <w:rPr>
      <w:rFonts w:ascii="Arial" w:hAnsi="Arial" w:cs="Arial"/>
      <w:sz w:val="48"/>
      <w:szCs w:val="48"/>
      <w:lang w:val="en-US"/>
    </w:rPr>
  </w:style>
  <w:style w:type="paragraph" w:styleId="Header">
    <w:name w:val="header"/>
    <w:basedOn w:val="Normal"/>
    <w:link w:val="HeaderChar"/>
    <w:uiPriority w:val="99"/>
    <w:unhideWhenUsed/>
    <w:rsid w:val="005C15C7"/>
    <w:pPr>
      <w:tabs>
        <w:tab w:val="center" w:pos="4320"/>
        <w:tab w:val="right" w:pos="8640"/>
      </w:tabs>
      <w:spacing w:after="0"/>
    </w:pPr>
  </w:style>
  <w:style w:type="character" w:customStyle="1" w:styleId="HeaderChar">
    <w:name w:val="Header Char"/>
    <w:basedOn w:val="DefaultParagraphFont"/>
    <w:link w:val="Header"/>
    <w:uiPriority w:val="99"/>
    <w:rsid w:val="005C15C7"/>
    <w:rPr>
      <w:sz w:val="24"/>
      <w:szCs w:val="24"/>
    </w:rPr>
  </w:style>
  <w:style w:type="paragraph" w:styleId="Footer">
    <w:name w:val="footer"/>
    <w:basedOn w:val="Normal"/>
    <w:link w:val="FooterChar"/>
    <w:uiPriority w:val="99"/>
    <w:unhideWhenUsed/>
    <w:rsid w:val="005C15C7"/>
    <w:pPr>
      <w:tabs>
        <w:tab w:val="center" w:pos="4320"/>
        <w:tab w:val="right" w:pos="8640"/>
      </w:tabs>
      <w:spacing w:after="0"/>
    </w:pPr>
  </w:style>
  <w:style w:type="character" w:customStyle="1" w:styleId="FooterChar">
    <w:name w:val="Footer Char"/>
    <w:basedOn w:val="DefaultParagraphFont"/>
    <w:link w:val="Footer"/>
    <w:uiPriority w:val="99"/>
    <w:rsid w:val="005C15C7"/>
    <w:rPr>
      <w:sz w:val="24"/>
      <w:szCs w:val="24"/>
    </w:rPr>
  </w:style>
  <w:style w:type="paragraph" w:styleId="BalloonText">
    <w:name w:val="Balloon Text"/>
    <w:basedOn w:val="Normal"/>
    <w:link w:val="BalloonTextChar"/>
    <w:uiPriority w:val="99"/>
    <w:semiHidden/>
    <w:unhideWhenUsed/>
    <w:rsid w:val="005C15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5C7"/>
    <w:rPr>
      <w:rFonts w:ascii="Lucida Grande" w:hAnsi="Lucida Grande" w:cs="Lucida Grande"/>
      <w:sz w:val="18"/>
      <w:szCs w:val="18"/>
    </w:rPr>
  </w:style>
  <w:style w:type="paragraph" w:customStyle="1" w:styleId="BasicParagraph">
    <w:name w:val="[Basic Paragraph]"/>
    <w:basedOn w:val="Normal"/>
    <w:uiPriority w:val="99"/>
    <w:rsid w:val="00040DF1"/>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040DF1"/>
    <w:rPr>
      <w:rFonts w:ascii="Arial" w:hAnsi="Arial" w:cs="Arial"/>
      <w:sz w:val="36"/>
      <w:szCs w:val="36"/>
      <w:lang w:val="en-US"/>
    </w:rPr>
  </w:style>
  <w:style w:type="paragraph" w:customStyle="1" w:styleId="Body">
    <w:name w:val="Body"/>
    <w:basedOn w:val="BasicParagraph"/>
    <w:qFormat/>
    <w:rsid w:val="00117153"/>
    <w:pPr>
      <w:spacing w:after="240"/>
    </w:pPr>
    <w:rPr>
      <w:rFonts w:ascii="Arial" w:hAnsi="Arial" w:cs="Arial"/>
    </w:rPr>
  </w:style>
  <w:style w:type="character" w:styleId="Hyperlink">
    <w:name w:val="Hyperlink"/>
    <w:basedOn w:val="DefaultParagraphFont"/>
    <w:uiPriority w:val="99"/>
    <w:unhideWhenUsed/>
    <w:rsid w:val="00E4162E"/>
    <w:rPr>
      <w:color w:val="0000FF" w:themeColor="hyperlink"/>
      <w:u w:val="single"/>
    </w:rPr>
  </w:style>
  <w:style w:type="character" w:styleId="UnresolvedMention">
    <w:name w:val="Unresolved Mention"/>
    <w:basedOn w:val="DefaultParagraphFont"/>
    <w:uiPriority w:val="99"/>
    <w:semiHidden/>
    <w:unhideWhenUsed/>
    <w:rsid w:val="00E4162E"/>
    <w:rPr>
      <w:color w:val="605E5C"/>
      <w:shd w:val="clear" w:color="auto" w:fill="E1DFDD"/>
    </w:rPr>
  </w:style>
  <w:style w:type="paragraph" w:styleId="NormalWeb">
    <w:name w:val="Normal (Web)"/>
    <w:basedOn w:val="Normal"/>
    <w:uiPriority w:val="99"/>
    <w:semiHidden/>
    <w:unhideWhenUsed/>
    <w:rsid w:val="00C94CE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91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oe@unison.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cottishtrans.org/wp-content/uploads/2016/08/Report-fin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A3C2CAE7D7E0344E9E9E201A4146DBE0" ma:contentTypeVersion="12" ma:contentTypeDescription="Create a new Word Document" ma:contentTypeScope="" ma:versionID="31693352bbc5788a78b3398c619f1c5d">
  <xsd:schema xmlns:xsd="http://www.w3.org/2001/XMLSchema" xmlns:p="http://schemas.microsoft.com/office/2006/metadata/properties" xmlns:ns2="6e86cc80-d06d-4e8f-b8eb-114dcfb506da" xmlns:ns3="1e0c2c64-716a-4af4-b1c6-a979864817c1" targetNamespace="http://schemas.microsoft.com/office/2006/metadata/properties" ma:root="true" ma:fieldsID="8b002019ceab4afa8e557014f16012ab" ns2:_="" ns3:_="">
    <xsd:import namespace="6e86cc80-d06d-4e8f-b8eb-114dcfb506da"/>
    <xsd:import namespace="1e0c2c64-716a-4af4-b1c6-a979864817c1"/>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Categories0"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1e0c2c64-716a-4af4-b1c6-a979864817c1"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ategories0" ma:index="18" nillable="true" ma:displayName="Category" ma:format="Dropdown" ma:internalName="Categories0">
      <xsd:simpleType>
        <xsd:restriction base="dms:Choice">
          <xsd:enumeration value="Catering"/>
          <xsd:enumeration value="Travel"/>
          <xsd:enumeration value="Expenses"/>
          <xsd:enumeration value="ICE form"/>
          <xsd:enumeration value="Logos"/>
          <xsd:enumeration value="P.A. forms"/>
          <xsd:enumeration value="Carer's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UNISON_x0020_Source_x0020_URL xmlns="1e0c2c64-716a-4af4-b1c6-a979864817c1">
      <Url xmlns="1e0c2c64-716a-4af4-b1c6-a979864817c1" xsi:nil="true"/>
      <Description xmlns="1e0c2c64-716a-4af4-b1c6-a979864817c1" xsi:nil="true"/>
    </UNISON_x0020_Source_x0020_URL>
    <Submitter xmlns="6e86cc80-d06d-4e8f-b8eb-114dcfb506da" xsi:nil="true"/>
    <Approver xmlns="6e86cc80-d06d-4e8f-b8eb-114dcfb506da" xsi:nil="true"/>
    <Date_x0020_Submitted xmlns="1e0c2c64-716a-4af4-b1c6-a979864817c1" xsi:nil="true"/>
    <Approved_x0020_Version xmlns="1e0c2c64-716a-4af4-b1c6-a979864817c1" xsi:nil="true"/>
    <Categories0 xmlns="1e0c2c64-716a-4af4-b1c6-a979864817c1" xsi:nil="true"/>
    <Date_x0020_Approved xmlns="1e0c2c64-716a-4af4-b1c6-a979864817c1" xsi:nil="true"/>
    <UNISON_x0020_Target_x0020_URL xmlns="1e0c2c64-716a-4af4-b1c6-a979864817c1">
      <Url xmlns="1e0c2c64-716a-4af4-b1c6-a979864817c1" xsi:nil="true"/>
      <Description xmlns="1e0c2c64-716a-4af4-b1c6-a979864817c1" xsi:nil="true"/>
    </UNISON_x0020_Target_x0020_URL>
    <_dlc_DocId xmlns="6e86cc80-d06d-4e8f-b8eb-114dcfb506da">WME3PDMH3E3U-1305-36</_dlc_DocId>
    <_dlc_DocIdUrl xmlns="6e86cc80-d06d-4e8f-b8eb-114dcfb506da">
      <Url>http://sp.dep.unison.org.uk/MPU/Internal/_layouts/15/DocIdRedir.aspx?ID=WME3PDMH3E3U-1305-36</Url>
      <Description>WME3PDMH3E3U-1305-36</Description>
    </_dlc_DocIdUrl>
  </documentManagement>
</p:properties>
</file>

<file path=customXml/itemProps1.xml><?xml version="1.0" encoding="utf-8"?>
<ds:datastoreItem xmlns:ds="http://schemas.openxmlformats.org/officeDocument/2006/customXml" ds:itemID="{42A58934-A6DE-482E-A6CD-90A58819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1e0c2c64-716a-4af4-b1c6-a979864817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D0AFB3-3C80-41C5-8480-9FBC431E37E1}">
  <ds:schemaRefs>
    <ds:schemaRef ds:uri="http://schemas.microsoft.com/sharepoint/events"/>
  </ds:schemaRefs>
</ds:datastoreItem>
</file>

<file path=customXml/itemProps3.xml><?xml version="1.0" encoding="utf-8"?>
<ds:datastoreItem xmlns:ds="http://schemas.openxmlformats.org/officeDocument/2006/customXml" ds:itemID="{3AC962A0-5444-40BF-8D5E-0AA366AE89A4}">
  <ds:schemaRefs>
    <ds:schemaRef ds:uri="http://schemas.microsoft.com/office/2006/metadata/customXsn"/>
  </ds:schemaRefs>
</ds:datastoreItem>
</file>

<file path=customXml/itemProps4.xml><?xml version="1.0" encoding="utf-8"?>
<ds:datastoreItem xmlns:ds="http://schemas.openxmlformats.org/officeDocument/2006/customXml" ds:itemID="{D25B5183-025B-4C80-9E80-09AAE271623A}">
  <ds:schemaRefs>
    <ds:schemaRef ds:uri="http://schemas.microsoft.com/sharepoint/v3/contenttype/forms"/>
  </ds:schemaRefs>
</ds:datastoreItem>
</file>

<file path=customXml/itemProps5.xml><?xml version="1.0" encoding="utf-8"?>
<ds:datastoreItem xmlns:ds="http://schemas.openxmlformats.org/officeDocument/2006/customXml" ds:itemID="{A5F76435-F51D-4592-A875-83FB028EB65E}">
  <ds:schemaRefs>
    <ds:schemaRef ds:uri="http://schemas.microsoft.com/office/2006/metadata/properties"/>
    <ds:schemaRef ds:uri="1e0c2c64-716a-4af4-b1c6-a979864817c1"/>
    <ds:schemaRef ds:uri="6e86cc80-d06d-4e8f-b8eb-114dcfb506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3037</Words>
  <Characters>17315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Reform of the GRA factsheet - updated Apr 2021</vt:lpstr>
    </vt:vector>
  </TitlesOfParts>
  <Company>unison</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of the GRA factsheet - updated Apr 2021</dc:title>
  <dc:subject/>
  <dc:creator>Unison</dc:creator>
  <cp:keywords/>
  <dc:description/>
  <cp:lastModifiedBy>Mawhood, Susan</cp:lastModifiedBy>
  <cp:revision>2</cp:revision>
  <dcterms:created xsi:type="dcterms:W3CDTF">2023-01-18T14:02:00Z</dcterms:created>
  <dcterms:modified xsi:type="dcterms:W3CDTF">2023-01-18T14:02:00Z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0x0101000C8E16668653CB47B6E8E0CE928ABAD50100A3C2CAE7D7E0344E9E9E201A4146DBE0</vt:lpwstr>
  </property>
  <property fmtid="{D5CDD505-2E9C-101B-9397-08002B2CF9AE}" pid="3" name="_dlc_DocIdItemGuid">
    <vt:lpwstr>905ccd23-864d-4c01-bf96-3be9e1b74690</vt:lpwstr>
  </property>
</Properties>
</file>