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A43A" w14:textId="3F76C079" w:rsidR="00C166AE" w:rsidRPr="0074226B" w:rsidRDefault="00C166AE" w:rsidP="00C166A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120" w:line="675" w:lineRule="atLeast"/>
        <w:outlineLvl w:val="0"/>
        <w:rPr>
          <w:rFonts w:ascii="TimesModern-Bold" w:eastAsia="Times New Roman" w:hAnsi="TimesModern-Bold" w:cs="Times New Roman"/>
          <w:color w:val="1D1D1B"/>
          <w:kern w:val="36"/>
          <w:sz w:val="68"/>
          <w:szCs w:val="68"/>
          <w:lang w:eastAsia="en-GB"/>
        </w:rPr>
      </w:pPr>
      <w:r w:rsidRPr="00C166AE">
        <w:rPr>
          <w:rFonts w:ascii="TimesModern-Bold" w:eastAsia="Times New Roman" w:hAnsi="TimesModern-Bold" w:cs="Times New Roman"/>
          <w:color w:val="1D1D1B"/>
          <w:kern w:val="36"/>
          <w:sz w:val="68"/>
          <w:szCs w:val="68"/>
          <w:lang w:eastAsia="en-GB"/>
        </w:rPr>
        <w:t xml:space="preserve"> </w:t>
      </w:r>
      <w:r w:rsidRPr="0074226B">
        <w:rPr>
          <w:rFonts w:ascii="TimesModern-Bold" w:eastAsia="Times New Roman" w:hAnsi="TimesModern-Bold" w:cs="Times New Roman"/>
          <w:color w:val="1D1D1B"/>
          <w:kern w:val="36"/>
          <w:sz w:val="68"/>
          <w:szCs w:val="68"/>
          <w:lang w:eastAsia="en-GB"/>
        </w:rPr>
        <w:t xml:space="preserve">Rishi Sunak hints he may drop the triple lock on </w:t>
      </w:r>
      <w:r>
        <w:rPr>
          <w:rFonts w:ascii="TimesModern-Bold" w:eastAsia="Times New Roman" w:hAnsi="TimesModern-Bold" w:cs="Times New Roman"/>
          <w:color w:val="1D1D1B"/>
          <w:kern w:val="36"/>
          <w:sz w:val="68"/>
          <w:szCs w:val="68"/>
          <w:lang w:eastAsia="en-GB"/>
        </w:rPr>
        <w:t xml:space="preserve">state </w:t>
      </w:r>
      <w:r w:rsidRPr="0074226B">
        <w:rPr>
          <w:rFonts w:ascii="TimesModern-Bold" w:eastAsia="Times New Roman" w:hAnsi="TimesModern-Bold" w:cs="Times New Roman"/>
          <w:color w:val="1D1D1B"/>
          <w:kern w:val="36"/>
          <w:sz w:val="68"/>
          <w:szCs w:val="68"/>
          <w:lang w:eastAsia="en-GB"/>
        </w:rPr>
        <w:t>pensions this year</w:t>
      </w:r>
      <w:r>
        <w:rPr>
          <w:rFonts w:ascii="TimesModern-Bold" w:eastAsia="Times New Roman" w:hAnsi="TimesModern-Bold" w:cs="Times New Roman"/>
          <w:color w:val="1D1D1B"/>
          <w:kern w:val="36"/>
          <w:sz w:val="68"/>
          <w:szCs w:val="68"/>
          <w:lang w:eastAsia="en-GB"/>
        </w:rPr>
        <w:t xml:space="preserve"> despite the government promise to keep </w:t>
      </w:r>
      <w:r w:rsidR="00252A98">
        <w:rPr>
          <w:rFonts w:ascii="TimesModern-Bold" w:eastAsia="Times New Roman" w:hAnsi="TimesModern-Bold" w:cs="Times New Roman"/>
          <w:color w:val="1D1D1B"/>
          <w:kern w:val="36"/>
          <w:sz w:val="68"/>
          <w:szCs w:val="68"/>
          <w:lang w:eastAsia="en-GB"/>
        </w:rPr>
        <w:t>it until at least 2024</w:t>
      </w:r>
    </w:p>
    <w:p w14:paraId="01511E04" w14:textId="77777777" w:rsidR="00C166AE" w:rsidRPr="00D368A8" w:rsidRDefault="00C166AE" w:rsidP="00C166AE">
      <w:pPr>
        <w:rPr>
          <w:b/>
          <w:sz w:val="36"/>
          <w:szCs w:val="36"/>
        </w:rPr>
      </w:pPr>
    </w:p>
    <w:p w14:paraId="1FF923DF" w14:textId="06B8CE61" w:rsidR="00C166AE" w:rsidRPr="00D368A8" w:rsidRDefault="00C166AE" w:rsidP="00C166AE">
      <w:pPr>
        <w:rPr>
          <w:b/>
          <w:sz w:val="36"/>
          <w:szCs w:val="36"/>
        </w:rPr>
      </w:pPr>
      <w:r w:rsidRPr="00D368A8">
        <w:rPr>
          <w:b/>
          <w:sz w:val="36"/>
          <w:szCs w:val="36"/>
        </w:rPr>
        <w:t>This briefing sets out the background to State Pension increases and why we need to at least keep the ‘triple lock’ to protect future generations as well as current pensioners</w:t>
      </w:r>
    </w:p>
    <w:p w14:paraId="33E1E021" w14:textId="77777777" w:rsidR="00C166AE" w:rsidRDefault="00C166AE" w:rsidP="00C166AE">
      <w:pPr>
        <w:rPr>
          <w:b/>
          <w:sz w:val="32"/>
          <w:szCs w:val="32"/>
        </w:rPr>
      </w:pPr>
    </w:p>
    <w:p w14:paraId="7B602737" w14:textId="77777777" w:rsidR="00C166AE" w:rsidRDefault="00C166AE" w:rsidP="00C166AE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the Triple lock?</w:t>
      </w:r>
    </w:p>
    <w:p w14:paraId="7A274DA4" w14:textId="77777777" w:rsidR="005727B8" w:rsidRDefault="005727B8" w:rsidP="005727B8">
      <w:pPr>
        <w:rPr>
          <w:b/>
          <w:sz w:val="32"/>
          <w:szCs w:val="32"/>
        </w:rPr>
      </w:pPr>
    </w:p>
    <w:p w14:paraId="61E95163" w14:textId="1FE202CC" w:rsidR="00932A07" w:rsidRDefault="005727B8" w:rsidP="00932A07">
      <w:pPr>
        <w:rPr>
          <w:sz w:val="24"/>
          <w:szCs w:val="24"/>
        </w:rPr>
      </w:pPr>
      <w:r w:rsidRPr="00F61243">
        <w:rPr>
          <w:b/>
          <w:sz w:val="24"/>
          <w:szCs w:val="24"/>
        </w:rPr>
        <w:t xml:space="preserve">Since </w:t>
      </w:r>
      <w:r w:rsidR="00AF2055" w:rsidRPr="00F61243">
        <w:rPr>
          <w:b/>
          <w:sz w:val="24"/>
          <w:szCs w:val="24"/>
        </w:rPr>
        <w:t>2012</w:t>
      </w:r>
      <w:r w:rsidR="00AF2055">
        <w:rPr>
          <w:b/>
          <w:sz w:val="24"/>
          <w:szCs w:val="24"/>
        </w:rPr>
        <w:t>:</w:t>
      </w:r>
      <w:r w:rsidRPr="00F61243">
        <w:rPr>
          <w:b/>
          <w:sz w:val="24"/>
          <w:szCs w:val="24"/>
        </w:rPr>
        <w:t>-</w:t>
      </w:r>
      <w:r w:rsidR="00932A07" w:rsidRPr="00932A07">
        <w:rPr>
          <w:sz w:val="24"/>
          <w:szCs w:val="24"/>
        </w:rPr>
        <w:t xml:space="preserve"> </w:t>
      </w:r>
    </w:p>
    <w:p w14:paraId="0F2E35D2" w14:textId="77777777" w:rsidR="008F28B9" w:rsidRDefault="008F28B9" w:rsidP="00932A07">
      <w:pPr>
        <w:rPr>
          <w:sz w:val="24"/>
          <w:szCs w:val="24"/>
        </w:rPr>
      </w:pPr>
    </w:p>
    <w:p w14:paraId="5788AA3C" w14:textId="46C503C3" w:rsidR="00932A07" w:rsidRDefault="00932A07" w:rsidP="00932A07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The government </w:t>
      </w:r>
      <w:r>
        <w:rPr>
          <w:sz w:val="24"/>
          <w:szCs w:val="24"/>
        </w:rPr>
        <w:t>changed the way state pensions are increased</w:t>
      </w:r>
      <w:r w:rsidR="00BE5730">
        <w:rPr>
          <w:sz w:val="24"/>
          <w:szCs w:val="24"/>
        </w:rPr>
        <w:t xml:space="preserve"> every year.</w:t>
      </w:r>
    </w:p>
    <w:p w14:paraId="17CD499F" w14:textId="0EB74F47" w:rsidR="00E26D5C" w:rsidRDefault="001B6BB9" w:rsidP="005727B8">
      <w:pPr>
        <w:rPr>
          <w:sz w:val="24"/>
          <w:szCs w:val="24"/>
        </w:rPr>
      </w:pPr>
      <w:r>
        <w:rPr>
          <w:sz w:val="24"/>
          <w:szCs w:val="24"/>
        </w:rPr>
        <w:t>After decades of lobbying governments</w:t>
      </w:r>
      <w:r w:rsidR="00844065">
        <w:rPr>
          <w:sz w:val="24"/>
          <w:szCs w:val="24"/>
        </w:rPr>
        <w:t>,</w:t>
      </w:r>
      <w:r w:rsidR="005727B8" w:rsidRPr="00F61243">
        <w:rPr>
          <w:sz w:val="24"/>
          <w:szCs w:val="24"/>
        </w:rPr>
        <w:t xml:space="preserve"> National Average Earnings </w:t>
      </w:r>
      <w:r w:rsidR="00844065">
        <w:rPr>
          <w:sz w:val="24"/>
          <w:szCs w:val="24"/>
        </w:rPr>
        <w:t>w</w:t>
      </w:r>
      <w:r w:rsidR="00AF2055">
        <w:rPr>
          <w:sz w:val="24"/>
          <w:szCs w:val="24"/>
        </w:rPr>
        <w:t>as</w:t>
      </w:r>
      <w:r w:rsidR="00844065">
        <w:rPr>
          <w:sz w:val="24"/>
          <w:szCs w:val="24"/>
        </w:rPr>
        <w:t xml:space="preserve"> included in the </w:t>
      </w:r>
      <w:r w:rsidR="00E26D5C">
        <w:rPr>
          <w:sz w:val="24"/>
          <w:szCs w:val="24"/>
        </w:rPr>
        <w:t>calculation</w:t>
      </w:r>
      <w:r w:rsidR="00844065">
        <w:rPr>
          <w:sz w:val="24"/>
          <w:szCs w:val="24"/>
        </w:rPr>
        <w:t xml:space="preserve"> of state pension increases</w:t>
      </w:r>
      <w:r w:rsidR="005727B8" w:rsidRPr="00F61243">
        <w:rPr>
          <w:sz w:val="24"/>
          <w:szCs w:val="24"/>
        </w:rPr>
        <w:t>.</w:t>
      </w:r>
    </w:p>
    <w:p w14:paraId="5FEAD3CC" w14:textId="77777777" w:rsidR="00816CAD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 </w:t>
      </w:r>
      <w:r w:rsidR="00981CF1" w:rsidRPr="00F61243">
        <w:rPr>
          <w:sz w:val="24"/>
          <w:szCs w:val="24"/>
        </w:rPr>
        <w:t>However,</w:t>
      </w:r>
      <w:r w:rsidRPr="00F61243">
        <w:rPr>
          <w:sz w:val="24"/>
          <w:szCs w:val="24"/>
        </w:rPr>
        <w:t xml:space="preserve"> </w:t>
      </w:r>
      <w:r w:rsidR="00816CAD">
        <w:rPr>
          <w:sz w:val="24"/>
          <w:szCs w:val="24"/>
        </w:rPr>
        <w:t xml:space="preserve">the government </w:t>
      </w:r>
      <w:r w:rsidR="00932A07">
        <w:rPr>
          <w:sz w:val="24"/>
          <w:szCs w:val="24"/>
        </w:rPr>
        <w:t xml:space="preserve">also changed </w:t>
      </w:r>
      <w:r w:rsidR="00F61243">
        <w:rPr>
          <w:sz w:val="24"/>
          <w:szCs w:val="24"/>
        </w:rPr>
        <w:t xml:space="preserve">the RPI </w:t>
      </w:r>
      <w:r w:rsidR="00E137DD">
        <w:rPr>
          <w:sz w:val="24"/>
          <w:szCs w:val="24"/>
        </w:rPr>
        <w:t xml:space="preserve">(Retail Prices Index) </w:t>
      </w:r>
      <w:r w:rsidR="00F61243">
        <w:rPr>
          <w:sz w:val="24"/>
          <w:szCs w:val="24"/>
        </w:rPr>
        <w:t>for the CPI</w:t>
      </w:r>
      <w:r w:rsidR="00E137DD">
        <w:rPr>
          <w:sz w:val="24"/>
          <w:szCs w:val="24"/>
        </w:rPr>
        <w:t xml:space="preserve"> (Consumer Prices Index)</w:t>
      </w:r>
      <w:r w:rsidR="00F61243">
        <w:rPr>
          <w:sz w:val="24"/>
          <w:szCs w:val="24"/>
        </w:rPr>
        <w:t xml:space="preserve"> from 2012</w:t>
      </w:r>
    </w:p>
    <w:p w14:paraId="22003061" w14:textId="77777777" w:rsidR="00A81058" w:rsidRDefault="00BE5730" w:rsidP="005727B8">
      <w:pPr>
        <w:rPr>
          <w:sz w:val="24"/>
          <w:szCs w:val="24"/>
        </w:rPr>
      </w:pPr>
      <w:r>
        <w:rPr>
          <w:sz w:val="24"/>
          <w:szCs w:val="24"/>
        </w:rPr>
        <w:t>It retained a minimum increase of 2.5%</w:t>
      </w:r>
    </w:p>
    <w:p w14:paraId="7A274DA8" w14:textId="40DEC1CB" w:rsidR="005727B8" w:rsidRPr="00F61243" w:rsidRDefault="00A81058" w:rsidP="005727B8">
      <w:pPr>
        <w:rPr>
          <w:sz w:val="24"/>
          <w:szCs w:val="24"/>
        </w:rPr>
      </w:pPr>
      <w:r>
        <w:rPr>
          <w:sz w:val="24"/>
          <w:szCs w:val="24"/>
        </w:rPr>
        <w:t xml:space="preserve">Calculating increase on the best of all three became known </w:t>
      </w:r>
      <w:r w:rsidR="00D368A8">
        <w:rPr>
          <w:sz w:val="24"/>
          <w:szCs w:val="24"/>
        </w:rPr>
        <w:t xml:space="preserve">as </w:t>
      </w:r>
      <w:r w:rsidR="00F61243">
        <w:rPr>
          <w:sz w:val="24"/>
          <w:szCs w:val="24"/>
        </w:rPr>
        <w:t xml:space="preserve">- </w:t>
      </w:r>
      <w:r w:rsidR="005727B8" w:rsidRPr="00F61243">
        <w:rPr>
          <w:sz w:val="24"/>
          <w:szCs w:val="24"/>
        </w:rPr>
        <w:t>the ‘triple lock’</w:t>
      </w:r>
    </w:p>
    <w:p w14:paraId="28F6684D" w14:textId="77777777" w:rsidR="00BE5730" w:rsidRDefault="00BE5730" w:rsidP="005727B8">
      <w:pPr>
        <w:rPr>
          <w:b/>
          <w:sz w:val="24"/>
          <w:szCs w:val="24"/>
        </w:rPr>
      </w:pPr>
    </w:p>
    <w:p w14:paraId="4D872AC0" w14:textId="77777777" w:rsidR="00D368A8" w:rsidRDefault="00D368A8" w:rsidP="005727B8">
      <w:pPr>
        <w:rPr>
          <w:b/>
          <w:sz w:val="24"/>
          <w:szCs w:val="24"/>
        </w:rPr>
      </w:pPr>
    </w:p>
    <w:p w14:paraId="7A274DAA" w14:textId="675F492D" w:rsidR="005727B8" w:rsidRPr="00F61243" w:rsidRDefault="005727B8" w:rsidP="005727B8">
      <w:pPr>
        <w:rPr>
          <w:b/>
          <w:sz w:val="24"/>
          <w:szCs w:val="24"/>
        </w:rPr>
      </w:pPr>
      <w:r w:rsidRPr="00F61243">
        <w:rPr>
          <w:b/>
          <w:sz w:val="24"/>
          <w:szCs w:val="24"/>
        </w:rPr>
        <w:lastRenderedPageBreak/>
        <w:t>The triple lock</w:t>
      </w:r>
    </w:p>
    <w:p w14:paraId="7A274DAB" w14:textId="77777777" w:rsidR="005727B8" w:rsidRPr="00F61243" w:rsidRDefault="00F61243" w:rsidP="005727B8">
      <w:pPr>
        <w:rPr>
          <w:sz w:val="24"/>
          <w:szCs w:val="24"/>
        </w:rPr>
      </w:pPr>
      <w:r>
        <w:rPr>
          <w:sz w:val="24"/>
          <w:szCs w:val="24"/>
        </w:rPr>
        <w:t>The so called ‘</w:t>
      </w:r>
      <w:r w:rsidR="005727B8" w:rsidRPr="00F61243">
        <w:rPr>
          <w:sz w:val="24"/>
          <w:szCs w:val="24"/>
        </w:rPr>
        <w:t>triple lock’ means the increase in state pension is the higher of:-</w:t>
      </w:r>
    </w:p>
    <w:p w14:paraId="7A274DAC" w14:textId="77777777" w:rsidR="00E05D46" w:rsidRPr="00F61243" w:rsidRDefault="00C0737C" w:rsidP="005727B8">
      <w:pPr>
        <w:numPr>
          <w:ilvl w:val="0"/>
          <w:numId w:val="1"/>
        </w:numPr>
        <w:rPr>
          <w:sz w:val="24"/>
          <w:szCs w:val="24"/>
        </w:rPr>
      </w:pPr>
      <w:r w:rsidRPr="00F61243">
        <w:rPr>
          <w:sz w:val="24"/>
          <w:szCs w:val="24"/>
        </w:rPr>
        <w:t>National Average Earnings</w:t>
      </w:r>
    </w:p>
    <w:p w14:paraId="7A274DAD" w14:textId="77777777" w:rsidR="00E05D46" w:rsidRPr="00F61243" w:rsidRDefault="00C0737C" w:rsidP="005727B8">
      <w:pPr>
        <w:numPr>
          <w:ilvl w:val="0"/>
          <w:numId w:val="1"/>
        </w:numPr>
        <w:rPr>
          <w:sz w:val="24"/>
          <w:szCs w:val="24"/>
        </w:rPr>
      </w:pPr>
      <w:r w:rsidRPr="00F61243">
        <w:rPr>
          <w:sz w:val="24"/>
          <w:szCs w:val="24"/>
        </w:rPr>
        <w:t>Cost of living (CPI)</w:t>
      </w:r>
    </w:p>
    <w:p w14:paraId="7A274DAE" w14:textId="77777777" w:rsidR="00E05D46" w:rsidRPr="00F61243" w:rsidRDefault="00C0737C" w:rsidP="005727B8">
      <w:pPr>
        <w:numPr>
          <w:ilvl w:val="0"/>
          <w:numId w:val="1"/>
        </w:numPr>
        <w:rPr>
          <w:sz w:val="24"/>
          <w:szCs w:val="24"/>
        </w:rPr>
      </w:pPr>
      <w:r w:rsidRPr="00F61243">
        <w:rPr>
          <w:sz w:val="24"/>
          <w:szCs w:val="24"/>
        </w:rPr>
        <w:t xml:space="preserve"> 2.5%</w:t>
      </w:r>
    </w:p>
    <w:p w14:paraId="7A274DAF" w14:textId="77777777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>This formula is applied to the old basic state pension that are in payment and the new state pension post April 2016</w:t>
      </w:r>
      <w:r w:rsidR="00F61243">
        <w:rPr>
          <w:sz w:val="24"/>
          <w:szCs w:val="24"/>
        </w:rPr>
        <w:t xml:space="preserve"> – not to any other state or workplace pension.</w:t>
      </w:r>
    </w:p>
    <w:p w14:paraId="552A1FEC" w14:textId="77777777" w:rsidR="00981CF1" w:rsidRDefault="00981CF1" w:rsidP="00CC40FB">
      <w:pPr>
        <w:rPr>
          <w:b/>
          <w:sz w:val="24"/>
          <w:szCs w:val="24"/>
        </w:rPr>
      </w:pPr>
    </w:p>
    <w:p w14:paraId="31F1D236" w14:textId="32743FF5" w:rsidR="00910B5B" w:rsidRPr="00BE5730" w:rsidRDefault="00CC40FB" w:rsidP="00CC40FB">
      <w:pPr>
        <w:rPr>
          <w:bCs/>
          <w:sz w:val="28"/>
          <w:szCs w:val="28"/>
        </w:rPr>
      </w:pPr>
      <w:r w:rsidRPr="00BE5730">
        <w:rPr>
          <w:b/>
          <w:sz w:val="28"/>
          <w:szCs w:val="28"/>
        </w:rPr>
        <w:t>Backg</w:t>
      </w:r>
      <w:r w:rsidR="00910B5B" w:rsidRPr="00BE5730">
        <w:rPr>
          <w:b/>
          <w:sz w:val="28"/>
          <w:szCs w:val="28"/>
        </w:rPr>
        <w:t>round</w:t>
      </w:r>
      <w:r w:rsidR="00BE5730" w:rsidRPr="00BE5730">
        <w:rPr>
          <w:b/>
          <w:sz w:val="28"/>
          <w:szCs w:val="28"/>
        </w:rPr>
        <w:t xml:space="preserve"> How did we get here?</w:t>
      </w:r>
    </w:p>
    <w:p w14:paraId="784234A4" w14:textId="56DDD761" w:rsidR="00F57BDD" w:rsidRDefault="00DB3F4C" w:rsidP="00CC40F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1974</w:t>
      </w:r>
      <w:r w:rsidR="00085451" w:rsidRPr="00DB3F4C">
        <w:rPr>
          <w:bCs/>
          <w:sz w:val="24"/>
          <w:szCs w:val="24"/>
        </w:rPr>
        <w:t xml:space="preserve"> long term benefits including the state pension went up by</w:t>
      </w:r>
      <w:r w:rsidR="0074566F" w:rsidRPr="00DB3F4C">
        <w:rPr>
          <w:bCs/>
          <w:sz w:val="24"/>
          <w:szCs w:val="24"/>
        </w:rPr>
        <w:t xml:space="preserve"> the higher of prices or earnings</w:t>
      </w:r>
      <w:r w:rsidR="00AA5A8B" w:rsidRPr="00DB3F4C">
        <w:rPr>
          <w:bCs/>
          <w:sz w:val="24"/>
          <w:szCs w:val="24"/>
        </w:rPr>
        <w:t xml:space="preserve">. The measure on prices was the Retail Prices Index and the measure of earnings was </w:t>
      </w:r>
      <w:r w:rsidR="00B22BF1">
        <w:rPr>
          <w:bCs/>
          <w:sz w:val="24"/>
          <w:szCs w:val="24"/>
        </w:rPr>
        <w:t>a</w:t>
      </w:r>
      <w:r w:rsidR="00AA5A8B" w:rsidRPr="00DB3F4C">
        <w:rPr>
          <w:bCs/>
          <w:sz w:val="24"/>
          <w:szCs w:val="24"/>
        </w:rPr>
        <w:t>verage earnings</w:t>
      </w:r>
      <w:r w:rsidR="00B56895">
        <w:rPr>
          <w:bCs/>
          <w:sz w:val="24"/>
          <w:szCs w:val="24"/>
        </w:rPr>
        <w:t>.</w:t>
      </w:r>
    </w:p>
    <w:p w14:paraId="179C8FC3" w14:textId="06C5E54A" w:rsidR="00B22BF1" w:rsidRDefault="00F37810" w:rsidP="00CC4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4E6781">
        <w:rPr>
          <w:bCs/>
          <w:sz w:val="24"/>
          <w:szCs w:val="24"/>
        </w:rPr>
        <w:t xml:space="preserve">value of the </w:t>
      </w:r>
      <w:r>
        <w:rPr>
          <w:bCs/>
          <w:sz w:val="24"/>
          <w:szCs w:val="24"/>
        </w:rPr>
        <w:t>sta</w:t>
      </w:r>
      <w:r w:rsidR="00E579F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e pension </w:t>
      </w:r>
      <w:r w:rsidR="000352CA">
        <w:rPr>
          <w:bCs/>
          <w:sz w:val="24"/>
          <w:szCs w:val="24"/>
        </w:rPr>
        <w:t>measured against long term earnings</w:t>
      </w:r>
      <w:r w:rsidR="005801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increased from around 17% in 1971 to 26% by </w:t>
      </w:r>
      <w:r w:rsidR="00E579F4">
        <w:rPr>
          <w:bCs/>
          <w:sz w:val="24"/>
          <w:szCs w:val="24"/>
        </w:rPr>
        <w:t>1980</w:t>
      </w:r>
      <w:r w:rsidR="00197CBB">
        <w:rPr>
          <w:bCs/>
          <w:sz w:val="24"/>
          <w:szCs w:val="24"/>
        </w:rPr>
        <w:t>.</w:t>
      </w:r>
    </w:p>
    <w:p w14:paraId="6CC29E78" w14:textId="72BD46CA" w:rsidR="00B56895" w:rsidRDefault="00B56895" w:rsidP="00CC40FB">
      <w:pPr>
        <w:rPr>
          <w:bCs/>
          <w:sz w:val="24"/>
          <w:szCs w:val="24"/>
        </w:rPr>
      </w:pPr>
      <w:r w:rsidRPr="00B56895">
        <w:rPr>
          <w:b/>
          <w:sz w:val="24"/>
          <w:szCs w:val="24"/>
        </w:rPr>
        <w:t>1980</w:t>
      </w:r>
      <w:r>
        <w:rPr>
          <w:b/>
          <w:sz w:val="24"/>
          <w:szCs w:val="24"/>
        </w:rPr>
        <w:t xml:space="preserve"> </w:t>
      </w:r>
      <w:r w:rsidRPr="00330826">
        <w:rPr>
          <w:bCs/>
          <w:sz w:val="24"/>
          <w:szCs w:val="24"/>
        </w:rPr>
        <w:t xml:space="preserve">the earnings link was removed </w:t>
      </w:r>
      <w:r w:rsidR="00330826" w:rsidRPr="00330826">
        <w:rPr>
          <w:bCs/>
          <w:sz w:val="24"/>
          <w:szCs w:val="24"/>
        </w:rPr>
        <w:t>and state pension only went up in line with prices</w:t>
      </w:r>
    </w:p>
    <w:p w14:paraId="6DD5AFA4" w14:textId="75D65568" w:rsidR="0058013E" w:rsidRDefault="0058013E" w:rsidP="0058013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value of the state pension measured against long term earnings decreased</w:t>
      </w:r>
      <w:r w:rsidR="00AF31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from around </w:t>
      </w:r>
      <w:r w:rsidR="00B96AFC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% in 19</w:t>
      </w:r>
      <w:r w:rsidR="000E76C0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 xml:space="preserve"> to </w:t>
      </w:r>
      <w:r w:rsidR="000E76C0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% by </w:t>
      </w:r>
      <w:r w:rsidR="000E76C0">
        <w:rPr>
          <w:bCs/>
          <w:sz w:val="24"/>
          <w:szCs w:val="24"/>
        </w:rPr>
        <w:t>2003.</w:t>
      </w:r>
    </w:p>
    <w:p w14:paraId="3A976FCB" w14:textId="3C5FA99D" w:rsidR="004E4191" w:rsidRDefault="004E4191" w:rsidP="0058013E">
      <w:pPr>
        <w:rPr>
          <w:bCs/>
          <w:sz w:val="24"/>
          <w:szCs w:val="24"/>
        </w:rPr>
      </w:pPr>
      <w:r w:rsidRPr="004E4191">
        <w:rPr>
          <w:b/>
          <w:sz w:val="24"/>
          <w:szCs w:val="24"/>
        </w:rPr>
        <w:t>2003</w:t>
      </w:r>
      <w:r w:rsidR="006029E1">
        <w:rPr>
          <w:b/>
          <w:sz w:val="24"/>
          <w:szCs w:val="24"/>
        </w:rPr>
        <w:t xml:space="preserve"> </w:t>
      </w:r>
      <w:r w:rsidR="006029E1" w:rsidRPr="0030666C">
        <w:rPr>
          <w:bCs/>
          <w:sz w:val="24"/>
          <w:szCs w:val="24"/>
        </w:rPr>
        <w:t>minimu</w:t>
      </w:r>
      <w:r w:rsidR="00021746" w:rsidRPr="0030666C">
        <w:rPr>
          <w:bCs/>
          <w:sz w:val="24"/>
          <w:szCs w:val="24"/>
        </w:rPr>
        <w:t>m</w:t>
      </w:r>
      <w:r w:rsidR="006029E1" w:rsidRPr="0030666C">
        <w:rPr>
          <w:bCs/>
          <w:sz w:val="24"/>
          <w:szCs w:val="24"/>
        </w:rPr>
        <w:t xml:space="preserve"> increase of </w:t>
      </w:r>
      <w:r w:rsidR="00021746" w:rsidRPr="0030666C">
        <w:rPr>
          <w:bCs/>
          <w:sz w:val="24"/>
          <w:szCs w:val="24"/>
        </w:rPr>
        <w:t xml:space="preserve">2.5% was introduced so state pension was increased </w:t>
      </w:r>
      <w:r w:rsidR="0030666C" w:rsidRPr="0030666C">
        <w:rPr>
          <w:bCs/>
          <w:sz w:val="24"/>
          <w:szCs w:val="24"/>
        </w:rPr>
        <w:t>by the higher of RPI or 2.5%</w:t>
      </w:r>
      <w:r w:rsidR="00E05C7E">
        <w:rPr>
          <w:bCs/>
          <w:sz w:val="24"/>
          <w:szCs w:val="24"/>
        </w:rPr>
        <w:t>.</w:t>
      </w:r>
    </w:p>
    <w:p w14:paraId="3CFAC1FA" w14:textId="73E544F6" w:rsidR="00E05C7E" w:rsidRDefault="00E05C7E" w:rsidP="0058013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relative decline halted</w:t>
      </w:r>
      <w:r w:rsidR="00AB4716">
        <w:rPr>
          <w:bCs/>
          <w:sz w:val="24"/>
          <w:szCs w:val="24"/>
        </w:rPr>
        <w:t>-</w:t>
      </w:r>
      <w:r w:rsidR="00230CDA">
        <w:rPr>
          <w:bCs/>
          <w:sz w:val="24"/>
          <w:szCs w:val="24"/>
        </w:rPr>
        <w:t xml:space="preserve"> however RPI increases </w:t>
      </w:r>
      <w:r w:rsidR="006848DD">
        <w:rPr>
          <w:bCs/>
          <w:sz w:val="24"/>
          <w:szCs w:val="24"/>
        </w:rPr>
        <w:t>usually</w:t>
      </w:r>
      <w:r w:rsidR="00230CDA">
        <w:rPr>
          <w:bCs/>
          <w:sz w:val="24"/>
          <w:szCs w:val="24"/>
        </w:rPr>
        <w:t xml:space="preserve"> outstripped 2.5% during this period so by 201</w:t>
      </w:r>
      <w:r w:rsidR="006848DD">
        <w:rPr>
          <w:bCs/>
          <w:sz w:val="24"/>
          <w:szCs w:val="24"/>
        </w:rPr>
        <w:t>2</w:t>
      </w:r>
      <w:r w:rsidR="00230CDA">
        <w:rPr>
          <w:bCs/>
          <w:sz w:val="24"/>
          <w:szCs w:val="24"/>
        </w:rPr>
        <w:t xml:space="preserve"> only marginal increase</w:t>
      </w:r>
      <w:r w:rsidR="006848DD">
        <w:rPr>
          <w:bCs/>
          <w:sz w:val="24"/>
          <w:szCs w:val="24"/>
        </w:rPr>
        <w:t>.to around 17%</w:t>
      </w:r>
      <w:r w:rsidR="00AA0488">
        <w:rPr>
          <w:bCs/>
          <w:sz w:val="24"/>
          <w:szCs w:val="24"/>
        </w:rPr>
        <w:t xml:space="preserve"> of earnings</w:t>
      </w:r>
    </w:p>
    <w:p w14:paraId="19EC0F00" w14:textId="35E962EB" w:rsidR="002D3E0B" w:rsidRDefault="00614037" w:rsidP="0058013E">
      <w:pPr>
        <w:rPr>
          <w:bCs/>
          <w:sz w:val="24"/>
          <w:szCs w:val="24"/>
        </w:rPr>
      </w:pPr>
      <w:r w:rsidRPr="00311CC0">
        <w:rPr>
          <w:b/>
          <w:sz w:val="24"/>
          <w:szCs w:val="24"/>
        </w:rPr>
        <w:t>2011</w:t>
      </w:r>
      <w:r>
        <w:rPr>
          <w:bCs/>
          <w:sz w:val="24"/>
          <w:szCs w:val="24"/>
        </w:rPr>
        <w:t xml:space="preserve"> the earnings link was restored with </w:t>
      </w:r>
      <w:r w:rsidR="00311CC0">
        <w:rPr>
          <w:bCs/>
          <w:sz w:val="24"/>
          <w:szCs w:val="24"/>
        </w:rPr>
        <w:t>effect from 2012</w:t>
      </w:r>
      <w:r w:rsidR="00B544B5">
        <w:rPr>
          <w:bCs/>
          <w:sz w:val="24"/>
          <w:szCs w:val="24"/>
        </w:rPr>
        <w:t xml:space="preserve"> with </w:t>
      </w:r>
      <w:r>
        <w:rPr>
          <w:bCs/>
          <w:sz w:val="24"/>
          <w:szCs w:val="24"/>
        </w:rPr>
        <w:t>cross party support</w:t>
      </w:r>
      <w:r w:rsidR="00C007B0">
        <w:rPr>
          <w:bCs/>
          <w:sz w:val="24"/>
          <w:szCs w:val="24"/>
        </w:rPr>
        <w:t xml:space="preserve"> and the triple lock started. </w:t>
      </w:r>
      <w:r w:rsidR="00120508">
        <w:rPr>
          <w:bCs/>
          <w:sz w:val="24"/>
          <w:szCs w:val="24"/>
        </w:rPr>
        <w:t>However,</w:t>
      </w:r>
      <w:r w:rsidR="00C007B0">
        <w:rPr>
          <w:bCs/>
          <w:sz w:val="24"/>
          <w:szCs w:val="24"/>
        </w:rPr>
        <w:t xml:space="preserve"> the RPI was replaced by the Consumer </w:t>
      </w:r>
      <w:r w:rsidR="0098584E">
        <w:rPr>
          <w:bCs/>
          <w:sz w:val="24"/>
          <w:szCs w:val="24"/>
        </w:rPr>
        <w:t>P</w:t>
      </w:r>
      <w:r w:rsidR="00C007B0">
        <w:rPr>
          <w:bCs/>
          <w:sz w:val="24"/>
          <w:szCs w:val="24"/>
        </w:rPr>
        <w:t xml:space="preserve">rices </w:t>
      </w:r>
      <w:r w:rsidR="0098584E">
        <w:rPr>
          <w:bCs/>
          <w:sz w:val="24"/>
          <w:szCs w:val="24"/>
        </w:rPr>
        <w:t>I</w:t>
      </w:r>
      <w:r w:rsidR="00C007B0">
        <w:rPr>
          <w:bCs/>
          <w:sz w:val="24"/>
          <w:szCs w:val="24"/>
        </w:rPr>
        <w:t>ndex</w:t>
      </w:r>
      <w:r w:rsidR="00120508">
        <w:rPr>
          <w:bCs/>
          <w:sz w:val="24"/>
          <w:szCs w:val="24"/>
        </w:rPr>
        <w:t xml:space="preserve"> (CPI)</w:t>
      </w:r>
      <w:r w:rsidR="0098584E">
        <w:rPr>
          <w:bCs/>
          <w:sz w:val="24"/>
          <w:szCs w:val="24"/>
        </w:rPr>
        <w:t xml:space="preserve"> to measure price increases that over time results in around </w:t>
      </w:r>
      <w:r w:rsidR="00CE3F3A">
        <w:rPr>
          <w:bCs/>
          <w:sz w:val="24"/>
          <w:szCs w:val="24"/>
        </w:rPr>
        <w:t xml:space="preserve">average </w:t>
      </w:r>
      <w:r w:rsidR="0098584E">
        <w:rPr>
          <w:bCs/>
          <w:sz w:val="24"/>
          <w:szCs w:val="24"/>
        </w:rPr>
        <w:t>1% a year lower inflation figure</w:t>
      </w:r>
      <w:r w:rsidR="00F44A99">
        <w:rPr>
          <w:bCs/>
          <w:sz w:val="24"/>
          <w:szCs w:val="24"/>
        </w:rPr>
        <w:t>.</w:t>
      </w:r>
    </w:p>
    <w:p w14:paraId="13C3F616" w14:textId="5BF291AD" w:rsidR="00F44A99" w:rsidRDefault="00F44A99" w:rsidP="0058013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With pay restraint and low </w:t>
      </w:r>
      <w:r w:rsidR="00120508">
        <w:rPr>
          <w:bCs/>
          <w:sz w:val="24"/>
          <w:szCs w:val="24"/>
        </w:rPr>
        <w:t>inflation,</w:t>
      </w:r>
      <w:r>
        <w:rPr>
          <w:bCs/>
          <w:sz w:val="24"/>
          <w:szCs w:val="24"/>
        </w:rPr>
        <w:t xml:space="preserve"> the </w:t>
      </w:r>
      <w:r w:rsidR="00501496">
        <w:rPr>
          <w:bCs/>
          <w:sz w:val="24"/>
          <w:szCs w:val="24"/>
        </w:rPr>
        <w:t>2.5% underpin has been used</w:t>
      </w:r>
      <w:r w:rsidR="00EF6CEA">
        <w:rPr>
          <w:bCs/>
          <w:sz w:val="24"/>
          <w:szCs w:val="24"/>
        </w:rPr>
        <w:t xml:space="preserve"> 3 times since 2012</w:t>
      </w:r>
      <w:r w:rsidR="00690A50">
        <w:rPr>
          <w:bCs/>
          <w:sz w:val="24"/>
          <w:szCs w:val="24"/>
        </w:rPr>
        <w:t xml:space="preserve">. National </w:t>
      </w:r>
      <w:r w:rsidR="001D28A3">
        <w:rPr>
          <w:bCs/>
          <w:sz w:val="24"/>
          <w:szCs w:val="24"/>
        </w:rPr>
        <w:t>A</w:t>
      </w:r>
      <w:r w:rsidR="00690A50">
        <w:rPr>
          <w:bCs/>
          <w:sz w:val="24"/>
          <w:szCs w:val="24"/>
        </w:rPr>
        <w:t xml:space="preserve">verage </w:t>
      </w:r>
      <w:r w:rsidR="001D28A3">
        <w:rPr>
          <w:bCs/>
          <w:sz w:val="24"/>
          <w:szCs w:val="24"/>
        </w:rPr>
        <w:t>E</w:t>
      </w:r>
      <w:r w:rsidR="00690A50">
        <w:rPr>
          <w:bCs/>
          <w:sz w:val="24"/>
          <w:szCs w:val="24"/>
        </w:rPr>
        <w:t>arnings have been used</w:t>
      </w:r>
      <w:r w:rsidR="0077030A">
        <w:rPr>
          <w:bCs/>
          <w:sz w:val="24"/>
          <w:szCs w:val="24"/>
        </w:rPr>
        <w:t xml:space="preserve"> three times</w:t>
      </w:r>
      <w:r w:rsidR="005A0FBE">
        <w:rPr>
          <w:bCs/>
          <w:sz w:val="24"/>
          <w:szCs w:val="24"/>
        </w:rPr>
        <w:t xml:space="preserve">. The relative value </w:t>
      </w:r>
      <w:r w:rsidR="00D95D78">
        <w:rPr>
          <w:bCs/>
          <w:sz w:val="24"/>
          <w:szCs w:val="24"/>
        </w:rPr>
        <w:t>of what is now the basic state pension is around 19%</w:t>
      </w:r>
    </w:p>
    <w:p w14:paraId="57A46245" w14:textId="77777777" w:rsidR="000D11B6" w:rsidRDefault="005C7A13" w:rsidP="0058013E">
      <w:pPr>
        <w:rPr>
          <w:bCs/>
          <w:sz w:val="24"/>
          <w:szCs w:val="24"/>
        </w:rPr>
      </w:pPr>
      <w:r w:rsidRPr="005C7A13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</w:t>
      </w:r>
      <w:r w:rsidRPr="005A5422">
        <w:rPr>
          <w:bCs/>
          <w:sz w:val="24"/>
          <w:szCs w:val="24"/>
        </w:rPr>
        <w:t xml:space="preserve">the new state pension came in </w:t>
      </w:r>
      <w:r w:rsidR="005A5422" w:rsidRPr="005A5422">
        <w:rPr>
          <w:bCs/>
          <w:sz w:val="24"/>
          <w:szCs w:val="24"/>
        </w:rPr>
        <w:t>also increasing in line with the triple lock</w:t>
      </w:r>
      <w:r w:rsidR="005A5422">
        <w:rPr>
          <w:bCs/>
          <w:sz w:val="24"/>
          <w:szCs w:val="24"/>
        </w:rPr>
        <w:t xml:space="preserve">. The new state pension has a relative value </w:t>
      </w:r>
      <w:r w:rsidR="00A46A38">
        <w:rPr>
          <w:bCs/>
          <w:sz w:val="24"/>
          <w:szCs w:val="24"/>
        </w:rPr>
        <w:t xml:space="preserve">of around 24% of </w:t>
      </w:r>
      <w:r w:rsidR="00120508">
        <w:rPr>
          <w:bCs/>
          <w:sz w:val="24"/>
          <w:szCs w:val="24"/>
        </w:rPr>
        <w:t>long-term</w:t>
      </w:r>
      <w:r w:rsidR="00A46A38">
        <w:rPr>
          <w:bCs/>
          <w:sz w:val="24"/>
          <w:szCs w:val="24"/>
        </w:rPr>
        <w:t xml:space="preserve"> national earnings</w:t>
      </w:r>
      <w:r w:rsidR="00512B6D">
        <w:rPr>
          <w:bCs/>
          <w:sz w:val="24"/>
          <w:szCs w:val="24"/>
        </w:rPr>
        <w:t xml:space="preserve">. Many </w:t>
      </w:r>
      <w:r w:rsidR="00153C81">
        <w:rPr>
          <w:bCs/>
          <w:sz w:val="24"/>
          <w:szCs w:val="24"/>
        </w:rPr>
        <w:t xml:space="preserve">workers who have retired or are near State Pension Age will not get the full </w:t>
      </w:r>
      <w:r w:rsidR="00282372">
        <w:rPr>
          <w:bCs/>
          <w:sz w:val="24"/>
          <w:szCs w:val="24"/>
        </w:rPr>
        <w:t xml:space="preserve">new state pension. </w:t>
      </w:r>
    </w:p>
    <w:p w14:paraId="6211BAF7" w14:textId="3EBB7162" w:rsidR="005C7A13" w:rsidRPr="005C7A13" w:rsidRDefault="00282372" w:rsidP="0058013E">
      <w:pPr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The relative value of the basic state pension is now around 19%.</w:t>
      </w:r>
      <w:r w:rsidR="000D11B6">
        <w:rPr>
          <w:bCs/>
          <w:sz w:val="24"/>
          <w:szCs w:val="24"/>
        </w:rPr>
        <w:t xml:space="preserve"> Those who have reached state pension age providing their partner is also above state p</w:t>
      </w:r>
      <w:r w:rsidR="00336282">
        <w:rPr>
          <w:bCs/>
          <w:sz w:val="24"/>
          <w:szCs w:val="24"/>
        </w:rPr>
        <w:t xml:space="preserve">ension age can if eligible claim pension credit that </w:t>
      </w:r>
      <w:r w:rsidR="00F458A7">
        <w:rPr>
          <w:bCs/>
          <w:sz w:val="24"/>
          <w:szCs w:val="24"/>
        </w:rPr>
        <w:t xml:space="preserve">will boost their state pension to around 23 % </w:t>
      </w:r>
      <w:r w:rsidR="000B7C77">
        <w:rPr>
          <w:bCs/>
          <w:sz w:val="24"/>
          <w:szCs w:val="24"/>
        </w:rPr>
        <w:t>.</w:t>
      </w:r>
    </w:p>
    <w:p w14:paraId="3E131F08" w14:textId="7E9A4900" w:rsidR="00F915A6" w:rsidRDefault="00F915A6" w:rsidP="0058013E">
      <w:pPr>
        <w:rPr>
          <w:bCs/>
          <w:sz w:val="24"/>
          <w:szCs w:val="24"/>
        </w:rPr>
      </w:pPr>
    </w:p>
    <w:p w14:paraId="7A274DB1" w14:textId="77777777" w:rsidR="005727B8" w:rsidRPr="00F61243" w:rsidRDefault="005727B8" w:rsidP="005727B8">
      <w:pPr>
        <w:rPr>
          <w:b/>
          <w:sz w:val="24"/>
          <w:szCs w:val="24"/>
        </w:rPr>
      </w:pPr>
      <w:r w:rsidRPr="00F61243">
        <w:rPr>
          <w:b/>
          <w:sz w:val="24"/>
          <w:szCs w:val="24"/>
        </w:rPr>
        <w:t>State Pension increase</w:t>
      </w:r>
      <w:r w:rsidR="00F61243">
        <w:rPr>
          <w:b/>
          <w:sz w:val="24"/>
          <w:szCs w:val="24"/>
        </w:rPr>
        <w:t xml:space="preserve"> RPI v CPI</w:t>
      </w:r>
    </w:p>
    <w:p w14:paraId="7A274DB2" w14:textId="77777777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There are two main official measures of price inflation. </w:t>
      </w:r>
    </w:p>
    <w:p w14:paraId="7A274DB3" w14:textId="77777777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The Consumer Prices Index (CPI) that does not include housing costs </w:t>
      </w:r>
    </w:p>
    <w:p w14:paraId="7A274DB4" w14:textId="77777777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 The Retail Prices Index (RPI) that does include housing costs</w:t>
      </w:r>
    </w:p>
    <w:p w14:paraId="7A274DB5" w14:textId="77777777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The CPI </w:t>
      </w:r>
      <w:r w:rsidR="00F61243">
        <w:rPr>
          <w:sz w:val="24"/>
          <w:szCs w:val="24"/>
        </w:rPr>
        <w:t>and the RPI are calculated in different ways. The result is that CPI is nearly always significantly lower than RPI</w:t>
      </w:r>
    </w:p>
    <w:p w14:paraId="7A274DB6" w14:textId="1EA9F826" w:rsidR="005727B8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>Neither measure shows the real cost for pensioners</w:t>
      </w:r>
      <w:r w:rsidR="0080204F">
        <w:rPr>
          <w:sz w:val="24"/>
          <w:szCs w:val="24"/>
        </w:rPr>
        <w:t xml:space="preserve"> See the comparison in the attached tables</w:t>
      </w:r>
    </w:p>
    <w:p w14:paraId="79A180A5" w14:textId="43D12580" w:rsidR="00290104" w:rsidRDefault="00290104" w:rsidP="005727B8">
      <w:pPr>
        <w:rPr>
          <w:sz w:val="24"/>
          <w:szCs w:val="24"/>
        </w:rPr>
      </w:pPr>
    </w:p>
    <w:p w14:paraId="499882C8" w14:textId="01D0EE14" w:rsidR="00290104" w:rsidRDefault="00290104" w:rsidP="005727B8">
      <w:pPr>
        <w:rPr>
          <w:b/>
          <w:bCs/>
          <w:sz w:val="24"/>
          <w:szCs w:val="24"/>
        </w:rPr>
      </w:pPr>
      <w:r w:rsidRPr="00290104">
        <w:rPr>
          <w:b/>
          <w:bCs/>
          <w:sz w:val="24"/>
          <w:szCs w:val="24"/>
        </w:rPr>
        <w:t>Round up on where we are</w:t>
      </w:r>
      <w:r w:rsidR="007F7D80">
        <w:rPr>
          <w:b/>
          <w:bCs/>
          <w:sz w:val="24"/>
          <w:szCs w:val="24"/>
        </w:rPr>
        <w:t>.</w:t>
      </w:r>
    </w:p>
    <w:p w14:paraId="474A1363" w14:textId="4ECFD1B9" w:rsidR="007F7D80" w:rsidRPr="009A1A11" w:rsidRDefault="007F7D80" w:rsidP="005727B8">
      <w:pPr>
        <w:rPr>
          <w:sz w:val="24"/>
          <w:szCs w:val="24"/>
        </w:rPr>
      </w:pPr>
      <w:r w:rsidRPr="009A1A11">
        <w:rPr>
          <w:sz w:val="24"/>
          <w:szCs w:val="24"/>
        </w:rPr>
        <w:t xml:space="preserve">The relative value of the state pension compares badly </w:t>
      </w:r>
      <w:r w:rsidR="005107E2" w:rsidRPr="009A1A11">
        <w:rPr>
          <w:sz w:val="24"/>
          <w:szCs w:val="24"/>
        </w:rPr>
        <w:t>in terms of relative value with the state pensions of most countries in E</w:t>
      </w:r>
      <w:r w:rsidR="002A41E2" w:rsidRPr="009A1A11">
        <w:rPr>
          <w:sz w:val="24"/>
          <w:szCs w:val="24"/>
        </w:rPr>
        <w:t>urope.</w:t>
      </w:r>
    </w:p>
    <w:p w14:paraId="15AD7901" w14:textId="71CE8DDD" w:rsidR="002A41E2" w:rsidRDefault="002A41E2" w:rsidP="005727B8">
      <w:pPr>
        <w:rPr>
          <w:sz w:val="24"/>
          <w:szCs w:val="24"/>
        </w:rPr>
      </w:pPr>
      <w:r w:rsidRPr="009A1A11">
        <w:rPr>
          <w:sz w:val="24"/>
          <w:szCs w:val="24"/>
        </w:rPr>
        <w:t xml:space="preserve">As you will see below although the triple lock has assisted the state pension to </w:t>
      </w:r>
      <w:r w:rsidR="000A67C0" w:rsidRPr="009A1A11">
        <w:rPr>
          <w:sz w:val="24"/>
          <w:szCs w:val="24"/>
        </w:rPr>
        <w:t xml:space="preserve">maintain its relative value and with the recent </w:t>
      </w:r>
      <w:r w:rsidR="00884E6E" w:rsidRPr="009A1A11">
        <w:rPr>
          <w:sz w:val="24"/>
          <w:szCs w:val="24"/>
        </w:rPr>
        <w:t xml:space="preserve">average earnings </w:t>
      </w:r>
      <w:r w:rsidR="00E372B5" w:rsidRPr="009A1A11">
        <w:rPr>
          <w:sz w:val="24"/>
          <w:szCs w:val="24"/>
        </w:rPr>
        <w:t>start to increase</w:t>
      </w:r>
      <w:r w:rsidR="00884E6E" w:rsidRPr="009A1A11">
        <w:rPr>
          <w:sz w:val="24"/>
          <w:szCs w:val="24"/>
        </w:rPr>
        <w:t xml:space="preserve"> </w:t>
      </w:r>
      <w:r w:rsidR="009A1A11" w:rsidRPr="009A1A11">
        <w:rPr>
          <w:sz w:val="24"/>
          <w:szCs w:val="24"/>
        </w:rPr>
        <w:t>the relative value</w:t>
      </w:r>
      <w:r w:rsidR="009A1A11">
        <w:rPr>
          <w:sz w:val="24"/>
          <w:szCs w:val="24"/>
        </w:rPr>
        <w:t xml:space="preserve">. For those who now get the full </w:t>
      </w:r>
      <w:r w:rsidR="00A9173C">
        <w:rPr>
          <w:sz w:val="24"/>
          <w:szCs w:val="24"/>
        </w:rPr>
        <w:t>flat rate pension since 2016 or eligible for Pension Credit, the relative value is no higher than I it was 40 years ago.</w:t>
      </w:r>
    </w:p>
    <w:p w14:paraId="1C2554F1" w14:textId="5F386C8D" w:rsidR="00ED0C3B" w:rsidRDefault="00ED0C3B" w:rsidP="005727B8">
      <w:pPr>
        <w:rPr>
          <w:sz w:val="24"/>
          <w:szCs w:val="24"/>
        </w:rPr>
      </w:pPr>
    </w:p>
    <w:p w14:paraId="12A9569C" w14:textId="37D2AC0D" w:rsidR="00ED0C3B" w:rsidRPr="00E137DD" w:rsidRDefault="00ED0C3B" w:rsidP="005727B8">
      <w:pPr>
        <w:rPr>
          <w:b/>
          <w:bCs/>
          <w:color w:val="FF0000"/>
          <w:sz w:val="24"/>
          <w:szCs w:val="24"/>
        </w:rPr>
      </w:pPr>
      <w:r w:rsidRPr="00E137DD">
        <w:rPr>
          <w:b/>
          <w:bCs/>
          <w:sz w:val="24"/>
          <w:szCs w:val="24"/>
        </w:rPr>
        <w:t xml:space="preserve">You will also </w:t>
      </w:r>
      <w:r w:rsidR="00731283" w:rsidRPr="00E137DD">
        <w:rPr>
          <w:b/>
          <w:bCs/>
          <w:sz w:val="24"/>
          <w:szCs w:val="24"/>
        </w:rPr>
        <w:t>note</w:t>
      </w:r>
      <w:r w:rsidRPr="00E137DD">
        <w:rPr>
          <w:b/>
          <w:bCs/>
          <w:sz w:val="24"/>
          <w:szCs w:val="24"/>
        </w:rPr>
        <w:t xml:space="preserve"> that if the original ‘double lock’ had been retained </w:t>
      </w:r>
      <w:r w:rsidR="004E2396" w:rsidRPr="00E137DD">
        <w:rPr>
          <w:b/>
          <w:bCs/>
          <w:sz w:val="24"/>
          <w:szCs w:val="24"/>
        </w:rPr>
        <w:t xml:space="preserve">in 2011 </w:t>
      </w:r>
      <w:proofErr w:type="spellStart"/>
      <w:r w:rsidR="004E2396" w:rsidRPr="00E137DD">
        <w:rPr>
          <w:b/>
          <w:bCs/>
          <w:sz w:val="24"/>
          <w:szCs w:val="24"/>
        </w:rPr>
        <w:t>ie</w:t>
      </w:r>
      <w:proofErr w:type="spellEnd"/>
      <w:r w:rsidR="004E2396" w:rsidRPr="00E137DD">
        <w:rPr>
          <w:b/>
          <w:bCs/>
          <w:sz w:val="24"/>
          <w:szCs w:val="24"/>
        </w:rPr>
        <w:t xml:space="preserve"> </w:t>
      </w:r>
      <w:r w:rsidR="00D353CB">
        <w:rPr>
          <w:b/>
          <w:bCs/>
          <w:sz w:val="24"/>
          <w:szCs w:val="24"/>
        </w:rPr>
        <w:t xml:space="preserve">higher of </w:t>
      </w:r>
      <w:r w:rsidR="004E2396" w:rsidRPr="00E137DD">
        <w:rPr>
          <w:b/>
          <w:bCs/>
          <w:sz w:val="24"/>
          <w:szCs w:val="24"/>
        </w:rPr>
        <w:t xml:space="preserve">Retail Prices </w:t>
      </w:r>
      <w:r w:rsidR="00D353CB">
        <w:rPr>
          <w:b/>
          <w:bCs/>
          <w:sz w:val="24"/>
          <w:szCs w:val="24"/>
        </w:rPr>
        <w:t>I</w:t>
      </w:r>
      <w:r w:rsidR="004E2396" w:rsidRPr="00E137DD">
        <w:rPr>
          <w:b/>
          <w:bCs/>
          <w:sz w:val="24"/>
          <w:szCs w:val="24"/>
        </w:rPr>
        <w:t>ndex or 2.</w:t>
      </w:r>
      <w:r w:rsidR="00731283" w:rsidRPr="00E137DD">
        <w:rPr>
          <w:b/>
          <w:bCs/>
          <w:sz w:val="24"/>
          <w:szCs w:val="24"/>
        </w:rPr>
        <w:t>5%</w:t>
      </w:r>
      <w:r w:rsidR="004E2396" w:rsidRPr="00E137DD">
        <w:rPr>
          <w:b/>
          <w:bCs/>
          <w:sz w:val="24"/>
          <w:szCs w:val="24"/>
        </w:rPr>
        <w:t>, state pension would now be marginally higher</w:t>
      </w:r>
      <w:r w:rsidR="00D353CB">
        <w:rPr>
          <w:b/>
          <w:bCs/>
          <w:sz w:val="24"/>
          <w:szCs w:val="24"/>
        </w:rPr>
        <w:t>.</w:t>
      </w:r>
      <w:r w:rsidR="00E137DD">
        <w:rPr>
          <w:b/>
          <w:bCs/>
          <w:sz w:val="24"/>
          <w:szCs w:val="24"/>
        </w:rPr>
        <w:t xml:space="preserve"> </w:t>
      </w:r>
      <w:r w:rsidR="00D353CB">
        <w:rPr>
          <w:b/>
          <w:bCs/>
          <w:sz w:val="24"/>
          <w:szCs w:val="24"/>
        </w:rPr>
        <w:t>S</w:t>
      </w:r>
      <w:r w:rsidR="00E137DD">
        <w:rPr>
          <w:b/>
          <w:bCs/>
          <w:sz w:val="24"/>
          <w:szCs w:val="24"/>
        </w:rPr>
        <w:t xml:space="preserve">o compared with the previous method pensioners are </w:t>
      </w:r>
      <w:r w:rsidR="00D353CB">
        <w:rPr>
          <w:b/>
          <w:bCs/>
          <w:sz w:val="24"/>
          <w:szCs w:val="24"/>
        </w:rPr>
        <w:t xml:space="preserve">currently marginally </w:t>
      </w:r>
      <w:r w:rsidR="00E137DD">
        <w:rPr>
          <w:b/>
          <w:bCs/>
          <w:sz w:val="24"/>
          <w:szCs w:val="24"/>
        </w:rPr>
        <w:t xml:space="preserve">worse off </w:t>
      </w:r>
      <w:r w:rsidR="00E137DD" w:rsidRPr="00E137DD">
        <w:rPr>
          <w:b/>
          <w:bCs/>
          <w:color w:val="FF0000"/>
          <w:sz w:val="24"/>
          <w:szCs w:val="24"/>
        </w:rPr>
        <w:t>and the triple lock will have saved money based on real figures to date.</w:t>
      </w:r>
    </w:p>
    <w:p w14:paraId="169CE262" w14:textId="24A7A8CE" w:rsidR="00E137DD" w:rsidRDefault="00E137DD" w:rsidP="005727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may change for </w:t>
      </w:r>
      <w:r w:rsidR="005A4EBB">
        <w:rPr>
          <w:b/>
          <w:bCs/>
          <w:color w:val="FF0000"/>
          <w:sz w:val="24"/>
          <w:szCs w:val="24"/>
        </w:rPr>
        <w:t xml:space="preserve">a year or two </w:t>
      </w:r>
      <w:r>
        <w:rPr>
          <w:b/>
          <w:bCs/>
          <w:sz w:val="24"/>
          <w:szCs w:val="24"/>
        </w:rPr>
        <w:t>if pay increases continue to rebound after the pandemic and inflation continues to rise. Most recent figures</w:t>
      </w:r>
      <w:r w:rsidR="002F09BF">
        <w:rPr>
          <w:b/>
          <w:bCs/>
          <w:sz w:val="24"/>
          <w:szCs w:val="24"/>
        </w:rPr>
        <w:t>.</w:t>
      </w:r>
    </w:p>
    <w:p w14:paraId="0821998F" w14:textId="77777777" w:rsidR="00140FF7" w:rsidRDefault="00140FF7" w:rsidP="002F09BF"/>
    <w:p w14:paraId="089B0940" w14:textId="71C0AFB5" w:rsidR="002F09BF" w:rsidRDefault="00711EE0" w:rsidP="002F09BF">
      <w:r>
        <w:t xml:space="preserve">Latest </w:t>
      </w:r>
      <w:r w:rsidR="002F09BF">
        <w:t>Average Weekly Earnings (total pay – three-month average): 5.6%</w:t>
      </w:r>
      <w:r w:rsidR="003340FF">
        <w:t xml:space="preserve"> in May. And this may rise</w:t>
      </w:r>
      <w:r w:rsidR="000D7DC9">
        <w:t>. Inflation is also rising.</w:t>
      </w:r>
    </w:p>
    <w:p w14:paraId="3AB06624" w14:textId="1C4B4F2B" w:rsidR="006C650C" w:rsidRDefault="006C650C" w:rsidP="002F09BF"/>
    <w:p w14:paraId="48F9C769" w14:textId="77777777" w:rsidR="008F161B" w:rsidRDefault="008F161B" w:rsidP="002F09BF"/>
    <w:p w14:paraId="7A72F48E" w14:textId="3CCB1ED5" w:rsidR="008F161B" w:rsidRDefault="006C650C" w:rsidP="002F09BF">
      <w:r>
        <w:lastRenderedPageBreak/>
        <w:t>The table below</w:t>
      </w:r>
      <w:r w:rsidR="006914F2">
        <w:t xml:space="preserve"> shows</w:t>
      </w:r>
      <w:r>
        <w:t xml:space="preserve"> how the triple </w:t>
      </w:r>
      <w:r w:rsidR="00BD477D">
        <w:t xml:space="preserve">lock compares with the previous method if it had not been changed. </w:t>
      </w:r>
    </w:p>
    <w:p w14:paraId="0BF8901C" w14:textId="1BC3D44A" w:rsidR="008F161B" w:rsidRDefault="00BD477D" w:rsidP="002F09BF">
      <w:r>
        <w:t xml:space="preserve">In the final column </w:t>
      </w:r>
      <w:r w:rsidR="008F32B3">
        <w:t xml:space="preserve">it shows in red years when </w:t>
      </w:r>
      <w:r w:rsidR="008F161B">
        <w:t>the triple lock</w:t>
      </w:r>
      <w:r w:rsidR="00D604EE">
        <w:t xml:space="preserve"> increase</w:t>
      </w:r>
      <w:r w:rsidR="008F161B">
        <w:t xml:space="preserve"> </w:t>
      </w:r>
      <w:r w:rsidR="008F32B3">
        <w:t xml:space="preserve">was lower </w:t>
      </w:r>
    </w:p>
    <w:p w14:paraId="1028E12B" w14:textId="6609BB1A" w:rsidR="006C650C" w:rsidRDefault="008F32B3" w:rsidP="002F09BF">
      <w:r>
        <w:t>and i</w:t>
      </w:r>
      <w:r w:rsidR="008F161B">
        <w:t xml:space="preserve">n black years </w:t>
      </w:r>
      <w:r w:rsidR="00990764">
        <w:t xml:space="preserve">the increase was better </w:t>
      </w:r>
      <w:r w:rsidR="006D5C02">
        <w:t xml:space="preserve">or the same </w:t>
      </w:r>
      <w:r w:rsidR="008F161B">
        <w:t>under the triple lock</w:t>
      </w:r>
    </w:p>
    <w:p w14:paraId="3EBE9EB6" w14:textId="77777777" w:rsidR="002F09BF" w:rsidRDefault="002F09BF" w:rsidP="002F09BF"/>
    <w:p w14:paraId="020E9919" w14:textId="77777777" w:rsidR="005A4EBB" w:rsidRPr="00F61243" w:rsidRDefault="005A4EBB" w:rsidP="005727B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400"/>
        <w:gridCol w:w="1400"/>
        <w:gridCol w:w="1224"/>
        <w:gridCol w:w="1490"/>
        <w:gridCol w:w="1421"/>
      </w:tblGrid>
      <w:tr w:rsidR="00E137DD" w14:paraId="00AEA3F4" w14:textId="77777777" w:rsidTr="00535982">
        <w:tc>
          <w:tcPr>
            <w:tcW w:w="1553" w:type="dxa"/>
          </w:tcPr>
          <w:p w14:paraId="471A520A" w14:textId="77777777" w:rsidR="00E137DD" w:rsidRDefault="00E137DD" w:rsidP="00535982">
            <w:pPr>
              <w:pStyle w:val="Bodycopy"/>
            </w:pPr>
          </w:p>
        </w:tc>
        <w:tc>
          <w:tcPr>
            <w:tcW w:w="1400" w:type="dxa"/>
          </w:tcPr>
          <w:p w14:paraId="57CA2F76" w14:textId="77777777" w:rsidR="00E137DD" w:rsidRDefault="00E137DD" w:rsidP="00535982">
            <w:pPr>
              <w:pStyle w:val="Bodycopy"/>
            </w:pPr>
            <w:r>
              <w:t>CPI</w:t>
            </w:r>
          </w:p>
        </w:tc>
        <w:tc>
          <w:tcPr>
            <w:tcW w:w="1400" w:type="dxa"/>
          </w:tcPr>
          <w:p w14:paraId="028B95F1" w14:textId="77777777" w:rsidR="00E137DD" w:rsidRDefault="00E137DD" w:rsidP="00535982">
            <w:pPr>
              <w:pStyle w:val="Bodycopy"/>
            </w:pPr>
            <w:r>
              <w:t>RPI</w:t>
            </w:r>
          </w:p>
        </w:tc>
        <w:tc>
          <w:tcPr>
            <w:tcW w:w="1224" w:type="dxa"/>
          </w:tcPr>
          <w:p w14:paraId="4003EA62" w14:textId="77777777" w:rsidR="00E137DD" w:rsidRDefault="00E137DD" w:rsidP="00535982">
            <w:pPr>
              <w:pStyle w:val="Bodycopy"/>
            </w:pPr>
            <w:r>
              <w:t>Actual Increase in BSP in April</w:t>
            </w:r>
          </w:p>
        </w:tc>
        <w:tc>
          <w:tcPr>
            <w:tcW w:w="1490" w:type="dxa"/>
          </w:tcPr>
          <w:p w14:paraId="71439568" w14:textId="77777777" w:rsidR="00E137DD" w:rsidRDefault="00E137DD" w:rsidP="00535982">
            <w:pPr>
              <w:pStyle w:val="Bodycopy"/>
            </w:pPr>
          </w:p>
        </w:tc>
        <w:tc>
          <w:tcPr>
            <w:tcW w:w="1421" w:type="dxa"/>
          </w:tcPr>
          <w:p w14:paraId="48C7A586" w14:textId="77777777" w:rsidR="00E137DD" w:rsidRPr="0015308A" w:rsidRDefault="00E137DD" w:rsidP="00535982">
            <w:pPr>
              <w:pStyle w:val="Bodycopy"/>
            </w:pPr>
            <w:r w:rsidRPr="0015308A">
              <w:rPr>
                <w:color w:val="FF0000"/>
              </w:rPr>
              <w:t>Lower</w:t>
            </w:r>
          </w:p>
          <w:p w14:paraId="2E25F181" w14:textId="77777777" w:rsidR="00E137DD" w:rsidRDefault="00E137DD" w:rsidP="00535982">
            <w:pPr>
              <w:pStyle w:val="Bodycopy"/>
            </w:pPr>
            <w:r w:rsidRPr="0015308A">
              <w:t>Higher</w:t>
            </w:r>
          </w:p>
        </w:tc>
      </w:tr>
      <w:tr w:rsidR="00E137DD" w:rsidRPr="00274531" w14:paraId="7432FFC3" w14:textId="77777777" w:rsidTr="00535982">
        <w:tc>
          <w:tcPr>
            <w:tcW w:w="1553" w:type="dxa"/>
          </w:tcPr>
          <w:p w14:paraId="46D4830F" w14:textId="77777777" w:rsidR="00E137DD" w:rsidRDefault="00E137DD" w:rsidP="00535982">
            <w:pPr>
              <w:pStyle w:val="Bodycopy"/>
            </w:pPr>
            <w:r>
              <w:t>September 2011</w:t>
            </w:r>
          </w:p>
        </w:tc>
        <w:tc>
          <w:tcPr>
            <w:tcW w:w="1400" w:type="dxa"/>
          </w:tcPr>
          <w:p w14:paraId="61B4B1DC" w14:textId="77777777" w:rsidR="00E137DD" w:rsidRDefault="00E137DD" w:rsidP="00535982">
            <w:pPr>
              <w:pStyle w:val="Bodycopy"/>
            </w:pPr>
            <w:r>
              <w:t>5.2%</w:t>
            </w:r>
          </w:p>
        </w:tc>
        <w:tc>
          <w:tcPr>
            <w:tcW w:w="1400" w:type="dxa"/>
          </w:tcPr>
          <w:p w14:paraId="6C18414D" w14:textId="77777777" w:rsidR="00E137DD" w:rsidRDefault="00E137DD" w:rsidP="00535982">
            <w:pPr>
              <w:pStyle w:val="Bodycopy"/>
            </w:pPr>
            <w:r>
              <w:t>5.6%</w:t>
            </w:r>
          </w:p>
        </w:tc>
        <w:tc>
          <w:tcPr>
            <w:tcW w:w="1224" w:type="dxa"/>
          </w:tcPr>
          <w:p w14:paraId="798E14E4" w14:textId="77777777" w:rsidR="00E137DD" w:rsidRDefault="00E137DD" w:rsidP="00535982">
            <w:pPr>
              <w:pStyle w:val="Bodycopy"/>
            </w:pPr>
            <w:r>
              <w:t>April 2012</w:t>
            </w:r>
          </w:p>
        </w:tc>
        <w:tc>
          <w:tcPr>
            <w:tcW w:w="1490" w:type="dxa"/>
          </w:tcPr>
          <w:p w14:paraId="5AC45AA6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5.2%</w:t>
            </w:r>
          </w:p>
        </w:tc>
        <w:tc>
          <w:tcPr>
            <w:tcW w:w="1421" w:type="dxa"/>
          </w:tcPr>
          <w:p w14:paraId="39D67AD5" w14:textId="77777777" w:rsidR="00E137DD" w:rsidRPr="00274531" w:rsidRDefault="00E137DD" w:rsidP="00535982">
            <w:pPr>
              <w:pStyle w:val="Bodycopy"/>
              <w:rPr>
                <w:color w:val="FF0000"/>
              </w:rPr>
            </w:pPr>
            <w:r w:rsidRPr="00274531">
              <w:rPr>
                <w:color w:val="FF0000"/>
              </w:rPr>
              <w:t>0.4%</w:t>
            </w:r>
          </w:p>
        </w:tc>
      </w:tr>
      <w:tr w:rsidR="00E137DD" w:rsidRPr="00274531" w14:paraId="3C87330D" w14:textId="77777777" w:rsidTr="00535982">
        <w:tc>
          <w:tcPr>
            <w:tcW w:w="1553" w:type="dxa"/>
          </w:tcPr>
          <w:p w14:paraId="638AD97E" w14:textId="77777777" w:rsidR="00E137DD" w:rsidRDefault="00E137DD" w:rsidP="00535982">
            <w:pPr>
              <w:pStyle w:val="Bodycopy"/>
            </w:pPr>
            <w:r>
              <w:t>September 2012</w:t>
            </w:r>
          </w:p>
        </w:tc>
        <w:tc>
          <w:tcPr>
            <w:tcW w:w="1400" w:type="dxa"/>
          </w:tcPr>
          <w:p w14:paraId="60C6A823" w14:textId="77777777" w:rsidR="00E137DD" w:rsidRDefault="00E137DD" w:rsidP="00535982">
            <w:pPr>
              <w:pStyle w:val="Bodycopy"/>
            </w:pPr>
            <w:r>
              <w:t>2.7%</w:t>
            </w:r>
          </w:p>
        </w:tc>
        <w:tc>
          <w:tcPr>
            <w:tcW w:w="1400" w:type="dxa"/>
          </w:tcPr>
          <w:p w14:paraId="402D4019" w14:textId="77777777" w:rsidR="00E137DD" w:rsidRDefault="00E137DD" w:rsidP="00535982">
            <w:pPr>
              <w:pStyle w:val="Bodycopy"/>
            </w:pPr>
            <w:r>
              <w:t>3.2%</w:t>
            </w:r>
          </w:p>
        </w:tc>
        <w:tc>
          <w:tcPr>
            <w:tcW w:w="1224" w:type="dxa"/>
          </w:tcPr>
          <w:p w14:paraId="2300E2D0" w14:textId="77777777" w:rsidR="00E137DD" w:rsidRDefault="00E137DD" w:rsidP="00535982">
            <w:pPr>
              <w:pStyle w:val="Bodycopy"/>
            </w:pPr>
            <w:r>
              <w:t>April 2013</w:t>
            </w:r>
          </w:p>
        </w:tc>
        <w:tc>
          <w:tcPr>
            <w:tcW w:w="1490" w:type="dxa"/>
          </w:tcPr>
          <w:p w14:paraId="740A1655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2.7%</w:t>
            </w:r>
          </w:p>
        </w:tc>
        <w:tc>
          <w:tcPr>
            <w:tcW w:w="1421" w:type="dxa"/>
          </w:tcPr>
          <w:p w14:paraId="4207B3BD" w14:textId="77777777" w:rsidR="00E137DD" w:rsidRPr="00274531" w:rsidRDefault="00E137DD" w:rsidP="00535982">
            <w:pPr>
              <w:pStyle w:val="Bodycopy"/>
              <w:rPr>
                <w:color w:val="FF0000"/>
              </w:rPr>
            </w:pPr>
            <w:r w:rsidRPr="00274531">
              <w:rPr>
                <w:color w:val="FF0000"/>
              </w:rPr>
              <w:t>0.5%</w:t>
            </w:r>
          </w:p>
        </w:tc>
      </w:tr>
      <w:tr w:rsidR="00E137DD" w:rsidRPr="00274531" w14:paraId="078DD972" w14:textId="77777777" w:rsidTr="00535982">
        <w:tc>
          <w:tcPr>
            <w:tcW w:w="1553" w:type="dxa"/>
          </w:tcPr>
          <w:p w14:paraId="29BE47F3" w14:textId="77777777" w:rsidR="00E137DD" w:rsidRDefault="00E137DD" w:rsidP="00535982">
            <w:pPr>
              <w:pStyle w:val="Bodycopy"/>
            </w:pPr>
            <w:r>
              <w:t>September 2013</w:t>
            </w:r>
          </w:p>
        </w:tc>
        <w:tc>
          <w:tcPr>
            <w:tcW w:w="1400" w:type="dxa"/>
          </w:tcPr>
          <w:p w14:paraId="03DB0109" w14:textId="77777777" w:rsidR="00E137DD" w:rsidRDefault="00E137DD" w:rsidP="00535982">
            <w:pPr>
              <w:pStyle w:val="Bodycopy"/>
            </w:pPr>
            <w:r>
              <w:t>2.2%</w:t>
            </w:r>
          </w:p>
        </w:tc>
        <w:tc>
          <w:tcPr>
            <w:tcW w:w="1400" w:type="dxa"/>
          </w:tcPr>
          <w:p w14:paraId="03C35BE3" w14:textId="77777777" w:rsidR="00E137DD" w:rsidRDefault="00E137DD" w:rsidP="00535982">
            <w:pPr>
              <w:pStyle w:val="Bodycopy"/>
            </w:pPr>
            <w:r>
              <w:t>2.6%</w:t>
            </w:r>
          </w:p>
        </w:tc>
        <w:tc>
          <w:tcPr>
            <w:tcW w:w="1224" w:type="dxa"/>
          </w:tcPr>
          <w:p w14:paraId="78A8CDFB" w14:textId="77777777" w:rsidR="00E137DD" w:rsidRDefault="00E137DD" w:rsidP="00535982">
            <w:pPr>
              <w:pStyle w:val="Bodycopy"/>
            </w:pPr>
            <w:r>
              <w:t>April 2014</w:t>
            </w:r>
          </w:p>
        </w:tc>
        <w:tc>
          <w:tcPr>
            <w:tcW w:w="1490" w:type="dxa"/>
          </w:tcPr>
          <w:p w14:paraId="7EF31110" w14:textId="54E4286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2.</w:t>
            </w:r>
            <w:r w:rsidR="00D353CB">
              <w:rPr>
                <w:b/>
                <w:bCs/>
              </w:rPr>
              <w:t>5</w:t>
            </w:r>
            <w:r w:rsidRPr="00F51C69">
              <w:rPr>
                <w:b/>
                <w:bCs/>
              </w:rPr>
              <w:t>%</w:t>
            </w:r>
          </w:p>
        </w:tc>
        <w:tc>
          <w:tcPr>
            <w:tcW w:w="1421" w:type="dxa"/>
          </w:tcPr>
          <w:p w14:paraId="4DE28ED1" w14:textId="1AB43AF3" w:rsidR="00E137DD" w:rsidRPr="00274531" w:rsidRDefault="00E137DD" w:rsidP="00535982">
            <w:pPr>
              <w:pStyle w:val="Bodycopy"/>
              <w:rPr>
                <w:color w:val="FF0000"/>
              </w:rPr>
            </w:pPr>
            <w:r w:rsidRPr="00274531">
              <w:rPr>
                <w:color w:val="FF0000"/>
              </w:rPr>
              <w:t>0.</w:t>
            </w:r>
            <w:r w:rsidR="00D353CB">
              <w:rPr>
                <w:color w:val="FF0000"/>
              </w:rPr>
              <w:t>1</w:t>
            </w:r>
            <w:r w:rsidRPr="00274531">
              <w:rPr>
                <w:color w:val="FF0000"/>
              </w:rPr>
              <w:t>%</w:t>
            </w:r>
          </w:p>
        </w:tc>
      </w:tr>
      <w:tr w:rsidR="00E137DD" w:rsidRPr="00274531" w14:paraId="24BBC1EE" w14:textId="77777777" w:rsidTr="00535982">
        <w:tc>
          <w:tcPr>
            <w:tcW w:w="1553" w:type="dxa"/>
          </w:tcPr>
          <w:p w14:paraId="67DBA502" w14:textId="77777777" w:rsidR="00E137DD" w:rsidRDefault="00E137DD" w:rsidP="00535982">
            <w:pPr>
              <w:pStyle w:val="Bodycopy"/>
            </w:pPr>
            <w:r>
              <w:t>September 2014</w:t>
            </w:r>
          </w:p>
        </w:tc>
        <w:tc>
          <w:tcPr>
            <w:tcW w:w="1400" w:type="dxa"/>
          </w:tcPr>
          <w:p w14:paraId="70561936" w14:textId="77777777" w:rsidR="00E137DD" w:rsidRDefault="00E137DD" w:rsidP="00535982">
            <w:pPr>
              <w:pStyle w:val="Bodycopy"/>
            </w:pPr>
            <w:r>
              <w:t>1.2%</w:t>
            </w:r>
          </w:p>
        </w:tc>
        <w:tc>
          <w:tcPr>
            <w:tcW w:w="1400" w:type="dxa"/>
          </w:tcPr>
          <w:p w14:paraId="32122481" w14:textId="77777777" w:rsidR="00E137DD" w:rsidRDefault="00E137DD" w:rsidP="00535982">
            <w:pPr>
              <w:pStyle w:val="Bodycopy"/>
            </w:pPr>
            <w:r>
              <w:t>2.3%</w:t>
            </w:r>
          </w:p>
        </w:tc>
        <w:tc>
          <w:tcPr>
            <w:tcW w:w="1224" w:type="dxa"/>
          </w:tcPr>
          <w:p w14:paraId="7D0F3450" w14:textId="77777777" w:rsidR="00E137DD" w:rsidRDefault="00E137DD" w:rsidP="00535982">
            <w:pPr>
              <w:pStyle w:val="Bodycopy"/>
            </w:pPr>
            <w:r>
              <w:t>April 2015</w:t>
            </w:r>
          </w:p>
        </w:tc>
        <w:tc>
          <w:tcPr>
            <w:tcW w:w="1490" w:type="dxa"/>
          </w:tcPr>
          <w:p w14:paraId="4B56DDE5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2.5%</w:t>
            </w:r>
          </w:p>
        </w:tc>
        <w:tc>
          <w:tcPr>
            <w:tcW w:w="1421" w:type="dxa"/>
          </w:tcPr>
          <w:p w14:paraId="5E8B6558" w14:textId="77777777" w:rsidR="00E137DD" w:rsidRPr="00274531" w:rsidRDefault="00E137DD" w:rsidP="00535982">
            <w:pPr>
              <w:pStyle w:val="Bodycopy"/>
              <w:rPr>
                <w:color w:val="FF0000"/>
              </w:rPr>
            </w:pPr>
            <w:r w:rsidRPr="001F13E2">
              <w:t>same</w:t>
            </w:r>
          </w:p>
        </w:tc>
      </w:tr>
      <w:tr w:rsidR="00E137DD" w14:paraId="354D8D15" w14:textId="77777777" w:rsidTr="00535982">
        <w:tc>
          <w:tcPr>
            <w:tcW w:w="1553" w:type="dxa"/>
          </w:tcPr>
          <w:p w14:paraId="520B7C96" w14:textId="77777777" w:rsidR="00E137DD" w:rsidRDefault="00E137DD" w:rsidP="00535982">
            <w:pPr>
              <w:pStyle w:val="Bodycopy"/>
            </w:pPr>
            <w:r>
              <w:t>September 2015</w:t>
            </w:r>
          </w:p>
        </w:tc>
        <w:tc>
          <w:tcPr>
            <w:tcW w:w="1400" w:type="dxa"/>
          </w:tcPr>
          <w:p w14:paraId="1DB75804" w14:textId="77777777" w:rsidR="00E137DD" w:rsidRDefault="00E137DD" w:rsidP="00535982">
            <w:pPr>
              <w:pStyle w:val="Bodycopy"/>
            </w:pPr>
            <w:r w:rsidRPr="000F0A72">
              <w:rPr>
                <w:color w:val="FF0000"/>
              </w:rPr>
              <w:t>0.1%</w:t>
            </w:r>
          </w:p>
        </w:tc>
        <w:tc>
          <w:tcPr>
            <w:tcW w:w="1400" w:type="dxa"/>
          </w:tcPr>
          <w:p w14:paraId="1DB85CE9" w14:textId="77777777" w:rsidR="00E137DD" w:rsidRDefault="00E137DD" w:rsidP="00535982">
            <w:pPr>
              <w:pStyle w:val="Bodycopy"/>
            </w:pPr>
            <w:r>
              <w:t>1.1%</w:t>
            </w:r>
          </w:p>
        </w:tc>
        <w:tc>
          <w:tcPr>
            <w:tcW w:w="1224" w:type="dxa"/>
          </w:tcPr>
          <w:p w14:paraId="44D106C0" w14:textId="77777777" w:rsidR="00E137DD" w:rsidRDefault="00E137DD" w:rsidP="00535982">
            <w:pPr>
              <w:pStyle w:val="Bodycopy"/>
            </w:pPr>
            <w:r>
              <w:t>April 2016</w:t>
            </w:r>
          </w:p>
        </w:tc>
        <w:tc>
          <w:tcPr>
            <w:tcW w:w="1490" w:type="dxa"/>
          </w:tcPr>
          <w:p w14:paraId="21FCBEC1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2.9% increase in July 2015</w:t>
            </w:r>
          </w:p>
        </w:tc>
        <w:tc>
          <w:tcPr>
            <w:tcW w:w="1421" w:type="dxa"/>
          </w:tcPr>
          <w:p w14:paraId="782EC521" w14:textId="77777777" w:rsidR="00E137DD" w:rsidRDefault="00E137DD" w:rsidP="00535982">
            <w:pPr>
              <w:pStyle w:val="Bodycopy"/>
            </w:pPr>
            <w:r>
              <w:t>0.4%</w:t>
            </w:r>
          </w:p>
        </w:tc>
      </w:tr>
      <w:tr w:rsidR="00E137DD" w14:paraId="2F407C1A" w14:textId="77777777" w:rsidTr="00535982">
        <w:tc>
          <w:tcPr>
            <w:tcW w:w="1553" w:type="dxa"/>
          </w:tcPr>
          <w:p w14:paraId="7B2A2F79" w14:textId="77777777" w:rsidR="00E137DD" w:rsidRDefault="00E137DD" w:rsidP="00535982">
            <w:pPr>
              <w:pStyle w:val="Bodycopy"/>
            </w:pPr>
            <w:r>
              <w:t>September 2016</w:t>
            </w:r>
          </w:p>
        </w:tc>
        <w:tc>
          <w:tcPr>
            <w:tcW w:w="1400" w:type="dxa"/>
          </w:tcPr>
          <w:p w14:paraId="1C6C34CA" w14:textId="77777777" w:rsidR="00E137DD" w:rsidRDefault="00E137DD" w:rsidP="00535982">
            <w:pPr>
              <w:pStyle w:val="Bodycopy"/>
            </w:pPr>
            <w:r>
              <w:t>1%</w:t>
            </w:r>
          </w:p>
        </w:tc>
        <w:tc>
          <w:tcPr>
            <w:tcW w:w="1400" w:type="dxa"/>
          </w:tcPr>
          <w:p w14:paraId="7E31D85C" w14:textId="77777777" w:rsidR="00E137DD" w:rsidRDefault="00E137DD" w:rsidP="00535982">
            <w:pPr>
              <w:pStyle w:val="Bodycopy"/>
            </w:pPr>
            <w:r>
              <w:t>2%</w:t>
            </w:r>
          </w:p>
        </w:tc>
        <w:tc>
          <w:tcPr>
            <w:tcW w:w="1224" w:type="dxa"/>
          </w:tcPr>
          <w:p w14:paraId="59463D5A" w14:textId="77777777" w:rsidR="00E137DD" w:rsidRDefault="00E137DD" w:rsidP="00535982">
            <w:pPr>
              <w:pStyle w:val="Bodycopy"/>
            </w:pPr>
            <w:r>
              <w:t>April 2017</w:t>
            </w:r>
          </w:p>
        </w:tc>
        <w:tc>
          <w:tcPr>
            <w:tcW w:w="1490" w:type="dxa"/>
          </w:tcPr>
          <w:p w14:paraId="76AC9051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2.5%</w:t>
            </w:r>
          </w:p>
        </w:tc>
        <w:tc>
          <w:tcPr>
            <w:tcW w:w="1421" w:type="dxa"/>
          </w:tcPr>
          <w:p w14:paraId="55295F79" w14:textId="77777777" w:rsidR="00E137DD" w:rsidRDefault="00E137DD" w:rsidP="00535982">
            <w:pPr>
              <w:pStyle w:val="Bodycopy"/>
            </w:pPr>
            <w:r>
              <w:t>same</w:t>
            </w:r>
          </w:p>
        </w:tc>
      </w:tr>
      <w:tr w:rsidR="00E137DD" w:rsidRPr="001F13E2" w14:paraId="252736E9" w14:textId="77777777" w:rsidTr="00535982">
        <w:tc>
          <w:tcPr>
            <w:tcW w:w="1553" w:type="dxa"/>
          </w:tcPr>
          <w:p w14:paraId="57E5AE70" w14:textId="77777777" w:rsidR="00E137DD" w:rsidRDefault="00E137DD" w:rsidP="00535982">
            <w:pPr>
              <w:pStyle w:val="Bodycopy"/>
            </w:pPr>
            <w:r>
              <w:t>September 2017</w:t>
            </w:r>
          </w:p>
        </w:tc>
        <w:tc>
          <w:tcPr>
            <w:tcW w:w="1400" w:type="dxa"/>
          </w:tcPr>
          <w:p w14:paraId="2161D2FC" w14:textId="77777777" w:rsidR="00E137DD" w:rsidRDefault="00E137DD" w:rsidP="00535982">
            <w:pPr>
              <w:pStyle w:val="Bodycopy"/>
            </w:pPr>
            <w:r>
              <w:t>3%</w:t>
            </w:r>
          </w:p>
        </w:tc>
        <w:tc>
          <w:tcPr>
            <w:tcW w:w="1400" w:type="dxa"/>
          </w:tcPr>
          <w:p w14:paraId="40E7CE49" w14:textId="77777777" w:rsidR="00E137DD" w:rsidRDefault="00E137DD" w:rsidP="00535982">
            <w:pPr>
              <w:pStyle w:val="Bodycopy"/>
            </w:pPr>
            <w:r>
              <w:t>3.9%</w:t>
            </w:r>
          </w:p>
        </w:tc>
        <w:tc>
          <w:tcPr>
            <w:tcW w:w="1224" w:type="dxa"/>
          </w:tcPr>
          <w:p w14:paraId="17E19DF7" w14:textId="77777777" w:rsidR="00E137DD" w:rsidRDefault="00E137DD" w:rsidP="00535982">
            <w:pPr>
              <w:pStyle w:val="Bodycopy"/>
            </w:pPr>
            <w:r>
              <w:t>April 2018</w:t>
            </w:r>
          </w:p>
        </w:tc>
        <w:tc>
          <w:tcPr>
            <w:tcW w:w="1490" w:type="dxa"/>
          </w:tcPr>
          <w:p w14:paraId="4575BF3B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3%</w:t>
            </w:r>
          </w:p>
        </w:tc>
        <w:tc>
          <w:tcPr>
            <w:tcW w:w="1421" w:type="dxa"/>
          </w:tcPr>
          <w:p w14:paraId="5136249B" w14:textId="77777777" w:rsidR="00E137DD" w:rsidRPr="001F13E2" w:rsidRDefault="00E137DD" w:rsidP="00535982">
            <w:pPr>
              <w:pStyle w:val="Bodycopy"/>
              <w:rPr>
                <w:color w:val="FF0000"/>
              </w:rPr>
            </w:pPr>
            <w:r w:rsidRPr="001F13E2">
              <w:rPr>
                <w:color w:val="FF0000"/>
              </w:rPr>
              <w:t>0.9%</w:t>
            </w:r>
          </w:p>
        </w:tc>
      </w:tr>
      <w:tr w:rsidR="00E137DD" w:rsidRPr="001F13E2" w14:paraId="782E030E" w14:textId="77777777" w:rsidTr="00535982">
        <w:tc>
          <w:tcPr>
            <w:tcW w:w="1553" w:type="dxa"/>
          </w:tcPr>
          <w:p w14:paraId="6C7251FF" w14:textId="77777777" w:rsidR="00E137DD" w:rsidRDefault="00E137DD" w:rsidP="00535982">
            <w:pPr>
              <w:pStyle w:val="Bodycopy"/>
            </w:pPr>
            <w:r>
              <w:t>September 2018</w:t>
            </w:r>
          </w:p>
        </w:tc>
        <w:tc>
          <w:tcPr>
            <w:tcW w:w="1400" w:type="dxa"/>
          </w:tcPr>
          <w:p w14:paraId="78C09D2B" w14:textId="77777777" w:rsidR="00E137DD" w:rsidRDefault="00E137DD" w:rsidP="00535982">
            <w:pPr>
              <w:pStyle w:val="Bodycopy"/>
            </w:pPr>
            <w:r>
              <w:t>2.4%</w:t>
            </w:r>
          </w:p>
        </w:tc>
        <w:tc>
          <w:tcPr>
            <w:tcW w:w="1400" w:type="dxa"/>
          </w:tcPr>
          <w:p w14:paraId="105A6C71" w14:textId="77777777" w:rsidR="00E137DD" w:rsidRDefault="00E137DD" w:rsidP="00535982">
            <w:pPr>
              <w:pStyle w:val="Bodycopy"/>
            </w:pPr>
            <w:r>
              <w:t>3.3%</w:t>
            </w:r>
          </w:p>
        </w:tc>
        <w:tc>
          <w:tcPr>
            <w:tcW w:w="1224" w:type="dxa"/>
          </w:tcPr>
          <w:p w14:paraId="77FEDB3A" w14:textId="77777777" w:rsidR="00E137DD" w:rsidRDefault="00E137DD" w:rsidP="00535982">
            <w:pPr>
              <w:pStyle w:val="Bodycopy"/>
            </w:pPr>
            <w:r>
              <w:t>April 2019</w:t>
            </w:r>
          </w:p>
        </w:tc>
        <w:tc>
          <w:tcPr>
            <w:tcW w:w="1490" w:type="dxa"/>
          </w:tcPr>
          <w:p w14:paraId="072D3869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2.6% increase in average earnings</w:t>
            </w:r>
          </w:p>
        </w:tc>
        <w:tc>
          <w:tcPr>
            <w:tcW w:w="1421" w:type="dxa"/>
          </w:tcPr>
          <w:p w14:paraId="6CD9BCD4" w14:textId="77777777" w:rsidR="00E137DD" w:rsidRPr="001F13E2" w:rsidRDefault="00E137DD" w:rsidP="00535982">
            <w:pPr>
              <w:pStyle w:val="Bodycopy"/>
              <w:rPr>
                <w:color w:val="FF0000"/>
              </w:rPr>
            </w:pPr>
            <w:r w:rsidRPr="001F13E2">
              <w:rPr>
                <w:color w:val="FF0000"/>
              </w:rPr>
              <w:t>0.7%</w:t>
            </w:r>
          </w:p>
        </w:tc>
      </w:tr>
      <w:tr w:rsidR="00E137DD" w14:paraId="434B61A4" w14:textId="77777777" w:rsidTr="00535982">
        <w:tc>
          <w:tcPr>
            <w:tcW w:w="1553" w:type="dxa"/>
          </w:tcPr>
          <w:p w14:paraId="18381B9C" w14:textId="77777777" w:rsidR="00E137DD" w:rsidRDefault="00E137DD" w:rsidP="00535982">
            <w:pPr>
              <w:pStyle w:val="Bodycopy"/>
            </w:pPr>
            <w:r>
              <w:t>September 2019</w:t>
            </w:r>
          </w:p>
        </w:tc>
        <w:tc>
          <w:tcPr>
            <w:tcW w:w="1400" w:type="dxa"/>
          </w:tcPr>
          <w:p w14:paraId="3B87FC53" w14:textId="77777777" w:rsidR="00E137DD" w:rsidRDefault="00E137DD" w:rsidP="00535982">
            <w:pPr>
              <w:pStyle w:val="Bodycopy"/>
            </w:pPr>
            <w:r>
              <w:t>1.7%</w:t>
            </w:r>
          </w:p>
        </w:tc>
        <w:tc>
          <w:tcPr>
            <w:tcW w:w="1400" w:type="dxa"/>
          </w:tcPr>
          <w:p w14:paraId="6AE7CF05" w14:textId="77777777" w:rsidR="00E137DD" w:rsidRDefault="00E137DD" w:rsidP="00535982">
            <w:pPr>
              <w:pStyle w:val="Bodycopy"/>
            </w:pPr>
            <w:r>
              <w:t>2.4%</w:t>
            </w:r>
          </w:p>
        </w:tc>
        <w:tc>
          <w:tcPr>
            <w:tcW w:w="1224" w:type="dxa"/>
          </w:tcPr>
          <w:p w14:paraId="59FDEEF9" w14:textId="77777777" w:rsidR="00E137DD" w:rsidRDefault="00E137DD" w:rsidP="00535982">
            <w:pPr>
              <w:pStyle w:val="Bodycopy"/>
            </w:pPr>
            <w:r>
              <w:t>April 2020</w:t>
            </w:r>
          </w:p>
        </w:tc>
        <w:tc>
          <w:tcPr>
            <w:tcW w:w="1490" w:type="dxa"/>
          </w:tcPr>
          <w:p w14:paraId="7DC59F8B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3.9% average earnings at July 2019</w:t>
            </w:r>
          </w:p>
        </w:tc>
        <w:tc>
          <w:tcPr>
            <w:tcW w:w="1421" w:type="dxa"/>
          </w:tcPr>
          <w:p w14:paraId="21869694" w14:textId="659F1737" w:rsidR="00E137DD" w:rsidRDefault="00E137DD" w:rsidP="00535982">
            <w:pPr>
              <w:pStyle w:val="Bodycopy"/>
            </w:pPr>
            <w:r>
              <w:t>1.</w:t>
            </w:r>
            <w:r w:rsidR="00D353CB">
              <w:t>5</w:t>
            </w:r>
            <w:r>
              <w:t>%</w:t>
            </w:r>
          </w:p>
        </w:tc>
      </w:tr>
      <w:tr w:rsidR="00E137DD" w14:paraId="02F8B3F3" w14:textId="77777777" w:rsidTr="00535982">
        <w:tc>
          <w:tcPr>
            <w:tcW w:w="1553" w:type="dxa"/>
          </w:tcPr>
          <w:p w14:paraId="3DED9B0F" w14:textId="77777777" w:rsidR="00E137DD" w:rsidRDefault="00E137DD" w:rsidP="00535982">
            <w:pPr>
              <w:pStyle w:val="Bodycopy"/>
            </w:pPr>
            <w:r>
              <w:t xml:space="preserve">September </w:t>
            </w:r>
          </w:p>
          <w:p w14:paraId="5F62570E" w14:textId="77777777" w:rsidR="00E137DD" w:rsidRDefault="00E137DD" w:rsidP="00535982">
            <w:pPr>
              <w:pStyle w:val="Bodycopy"/>
            </w:pPr>
            <w:r>
              <w:t>2020</w:t>
            </w:r>
          </w:p>
        </w:tc>
        <w:tc>
          <w:tcPr>
            <w:tcW w:w="1400" w:type="dxa"/>
          </w:tcPr>
          <w:p w14:paraId="5AB28E4C" w14:textId="77777777" w:rsidR="00E137DD" w:rsidRDefault="00E137DD" w:rsidP="00535982">
            <w:pPr>
              <w:pStyle w:val="Bodycopy"/>
            </w:pPr>
            <w:r>
              <w:t>0.5%</w:t>
            </w:r>
          </w:p>
        </w:tc>
        <w:tc>
          <w:tcPr>
            <w:tcW w:w="1400" w:type="dxa"/>
          </w:tcPr>
          <w:p w14:paraId="0F09EE20" w14:textId="77777777" w:rsidR="00E137DD" w:rsidRDefault="00E137DD" w:rsidP="00535982">
            <w:pPr>
              <w:pStyle w:val="Bodycopy"/>
            </w:pPr>
            <w:r>
              <w:t>1.1%</w:t>
            </w:r>
          </w:p>
        </w:tc>
        <w:tc>
          <w:tcPr>
            <w:tcW w:w="1224" w:type="dxa"/>
          </w:tcPr>
          <w:p w14:paraId="0B01066A" w14:textId="77777777" w:rsidR="00E137DD" w:rsidRDefault="00E137DD" w:rsidP="00535982">
            <w:pPr>
              <w:pStyle w:val="Bodycopy"/>
            </w:pPr>
            <w:r>
              <w:t>April 2021</w:t>
            </w:r>
          </w:p>
        </w:tc>
        <w:tc>
          <w:tcPr>
            <w:tcW w:w="1490" w:type="dxa"/>
          </w:tcPr>
          <w:p w14:paraId="415FBA3E" w14:textId="77777777" w:rsidR="00E137DD" w:rsidRPr="00F51C69" w:rsidRDefault="00E137DD" w:rsidP="00535982">
            <w:pPr>
              <w:pStyle w:val="Bodycopy"/>
              <w:rPr>
                <w:b/>
                <w:bCs/>
              </w:rPr>
            </w:pPr>
            <w:r w:rsidRPr="00F51C69">
              <w:rPr>
                <w:b/>
                <w:bCs/>
              </w:rPr>
              <w:t>2.5%</w:t>
            </w:r>
          </w:p>
        </w:tc>
        <w:tc>
          <w:tcPr>
            <w:tcW w:w="1421" w:type="dxa"/>
          </w:tcPr>
          <w:p w14:paraId="1078BD09" w14:textId="77777777" w:rsidR="00E137DD" w:rsidRDefault="00E137DD" w:rsidP="00535982">
            <w:pPr>
              <w:pStyle w:val="Bodycopy"/>
            </w:pPr>
            <w:r>
              <w:t>same</w:t>
            </w:r>
          </w:p>
        </w:tc>
      </w:tr>
      <w:tr w:rsidR="00E137DD" w14:paraId="38572E34" w14:textId="77777777" w:rsidTr="00535982">
        <w:tc>
          <w:tcPr>
            <w:tcW w:w="1553" w:type="dxa"/>
          </w:tcPr>
          <w:p w14:paraId="1A1C352A" w14:textId="77777777" w:rsidR="00E137DD" w:rsidRDefault="00E137DD" w:rsidP="00535982">
            <w:pPr>
              <w:pStyle w:val="Bodycopy"/>
            </w:pPr>
          </w:p>
        </w:tc>
        <w:tc>
          <w:tcPr>
            <w:tcW w:w="1400" w:type="dxa"/>
          </w:tcPr>
          <w:p w14:paraId="47305577" w14:textId="77777777" w:rsidR="00E137DD" w:rsidRDefault="00E137DD" w:rsidP="00535982">
            <w:pPr>
              <w:pStyle w:val="Bodycopy"/>
            </w:pPr>
          </w:p>
        </w:tc>
        <w:tc>
          <w:tcPr>
            <w:tcW w:w="1400" w:type="dxa"/>
          </w:tcPr>
          <w:p w14:paraId="244B9278" w14:textId="77777777" w:rsidR="00E137DD" w:rsidRDefault="00E137DD" w:rsidP="00535982">
            <w:pPr>
              <w:pStyle w:val="Bodycopy"/>
            </w:pPr>
          </w:p>
        </w:tc>
        <w:tc>
          <w:tcPr>
            <w:tcW w:w="1224" w:type="dxa"/>
          </w:tcPr>
          <w:p w14:paraId="023ED014" w14:textId="77777777" w:rsidR="00E137DD" w:rsidRDefault="00E137DD" w:rsidP="00535982">
            <w:pPr>
              <w:pStyle w:val="Bodycopy"/>
            </w:pPr>
          </w:p>
        </w:tc>
        <w:tc>
          <w:tcPr>
            <w:tcW w:w="1490" w:type="dxa"/>
          </w:tcPr>
          <w:p w14:paraId="3EC13182" w14:textId="77777777" w:rsidR="00E137DD" w:rsidRDefault="00E137DD" w:rsidP="00535982">
            <w:pPr>
              <w:pStyle w:val="Bodycopy"/>
            </w:pPr>
          </w:p>
        </w:tc>
        <w:tc>
          <w:tcPr>
            <w:tcW w:w="1421" w:type="dxa"/>
          </w:tcPr>
          <w:p w14:paraId="14952272" w14:textId="77777777" w:rsidR="00E137DD" w:rsidRDefault="00E137DD" w:rsidP="00535982">
            <w:pPr>
              <w:pStyle w:val="Bodycopy"/>
            </w:pPr>
          </w:p>
        </w:tc>
      </w:tr>
    </w:tbl>
    <w:p w14:paraId="680DC393" w14:textId="77777777" w:rsidR="005A4EBB" w:rsidRDefault="005A4EBB" w:rsidP="005727B8">
      <w:pPr>
        <w:rPr>
          <w:b/>
          <w:sz w:val="24"/>
          <w:szCs w:val="24"/>
        </w:rPr>
      </w:pPr>
    </w:p>
    <w:p w14:paraId="4FE8FA2F" w14:textId="77777777" w:rsidR="00D353CB" w:rsidRDefault="00D353CB" w:rsidP="005727B8">
      <w:pPr>
        <w:rPr>
          <w:b/>
          <w:sz w:val="24"/>
          <w:szCs w:val="24"/>
        </w:rPr>
      </w:pPr>
    </w:p>
    <w:p w14:paraId="060650AE" w14:textId="77777777" w:rsidR="00602150" w:rsidRDefault="00602150" w:rsidP="005727B8">
      <w:pPr>
        <w:rPr>
          <w:b/>
          <w:sz w:val="24"/>
          <w:szCs w:val="24"/>
        </w:rPr>
      </w:pPr>
    </w:p>
    <w:p w14:paraId="4F94595D" w14:textId="77777777" w:rsidR="00602150" w:rsidRDefault="00602150" w:rsidP="005727B8">
      <w:pPr>
        <w:rPr>
          <w:b/>
          <w:sz w:val="24"/>
          <w:szCs w:val="24"/>
        </w:rPr>
      </w:pPr>
    </w:p>
    <w:p w14:paraId="7A274DBC" w14:textId="3B51E393" w:rsidR="005727B8" w:rsidRPr="00F61243" w:rsidRDefault="005727B8" w:rsidP="005727B8">
      <w:pPr>
        <w:rPr>
          <w:b/>
          <w:sz w:val="24"/>
          <w:szCs w:val="24"/>
        </w:rPr>
      </w:pPr>
      <w:r w:rsidRPr="00F61243">
        <w:rPr>
          <w:b/>
          <w:sz w:val="24"/>
          <w:szCs w:val="24"/>
        </w:rPr>
        <w:lastRenderedPageBreak/>
        <w:t>State Pension increase - the attack on the triple lock</w:t>
      </w:r>
    </w:p>
    <w:p w14:paraId="58D5CFEA" w14:textId="77777777" w:rsidR="00602150" w:rsidRDefault="00602150" w:rsidP="005727B8">
      <w:pPr>
        <w:rPr>
          <w:sz w:val="24"/>
          <w:szCs w:val="24"/>
        </w:rPr>
      </w:pPr>
    </w:p>
    <w:p w14:paraId="7A274DBD" w14:textId="0E6B0280" w:rsidR="005727B8" w:rsidRPr="00F61243" w:rsidRDefault="0080204F" w:rsidP="005727B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727B8" w:rsidRPr="00F61243">
        <w:rPr>
          <w:sz w:val="24"/>
          <w:szCs w:val="24"/>
        </w:rPr>
        <w:t>he increase in 202</w:t>
      </w:r>
      <w:r w:rsidR="00494085">
        <w:rPr>
          <w:sz w:val="24"/>
          <w:szCs w:val="24"/>
        </w:rPr>
        <w:t xml:space="preserve">2 if not </w:t>
      </w:r>
      <w:r w:rsidR="00602150">
        <w:rPr>
          <w:sz w:val="24"/>
          <w:szCs w:val="24"/>
        </w:rPr>
        <w:t xml:space="preserve">changed </w:t>
      </w:r>
      <w:r w:rsidR="00602150" w:rsidRPr="00F61243">
        <w:rPr>
          <w:sz w:val="24"/>
          <w:szCs w:val="24"/>
        </w:rPr>
        <w:t>will</w:t>
      </w:r>
      <w:r w:rsidR="005727B8" w:rsidRPr="00F61243">
        <w:rPr>
          <w:sz w:val="24"/>
          <w:szCs w:val="24"/>
        </w:rPr>
        <w:t xml:space="preserve"> mean that for the</w:t>
      </w:r>
      <w:r w:rsidR="002E3CEC">
        <w:rPr>
          <w:sz w:val="24"/>
          <w:szCs w:val="24"/>
        </w:rPr>
        <w:t xml:space="preserve"> </w:t>
      </w:r>
      <w:r w:rsidR="00092D6D">
        <w:rPr>
          <w:sz w:val="24"/>
          <w:szCs w:val="24"/>
        </w:rPr>
        <w:t xml:space="preserve">second </w:t>
      </w:r>
      <w:r w:rsidR="00092D6D" w:rsidRPr="00F61243">
        <w:rPr>
          <w:sz w:val="24"/>
          <w:szCs w:val="24"/>
        </w:rPr>
        <w:t>time</w:t>
      </w:r>
      <w:r w:rsidR="005727B8" w:rsidRPr="00F61243">
        <w:rPr>
          <w:sz w:val="24"/>
          <w:szCs w:val="24"/>
        </w:rPr>
        <w:t xml:space="preserve"> since 2012 </w:t>
      </w:r>
      <w:r w:rsidR="00731283" w:rsidRPr="00F61243">
        <w:rPr>
          <w:sz w:val="24"/>
          <w:szCs w:val="24"/>
        </w:rPr>
        <w:t>the link</w:t>
      </w:r>
      <w:r w:rsidR="005727B8" w:rsidRPr="00F61243">
        <w:rPr>
          <w:sz w:val="24"/>
          <w:szCs w:val="24"/>
        </w:rPr>
        <w:t xml:space="preserve"> to average earnings will deliver a significant increase to the state pension. </w:t>
      </w:r>
    </w:p>
    <w:p w14:paraId="7A274DBE" w14:textId="77777777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>This will lead to more calls to cut it back.</w:t>
      </w:r>
    </w:p>
    <w:p w14:paraId="7A274DBF" w14:textId="293EE258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Many Politicians and ‘think tanks’ have attacked the triple lock </w:t>
      </w:r>
      <w:r w:rsidR="00602150">
        <w:rPr>
          <w:sz w:val="24"/>
          <w:szCs w:val="24"/>
        </w:rPr>
        <w:t xml:space="preserve">claiming it is </w:t>
      </w:r>
      <w:r w:rsidRPr="00F61243">
        <w:rPr>
          <w:sz w:val="24"/>
          <w:szCs w:val="24"/>
        </w:rPr>
        <w:t xml:space="preserve">too expensive and unfair to younger generations. </w:t>
      </w:r>
    </w:p>
    <w:p w14:paraId="7A274DC0" w14:textId="77777777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>The latest being the House of Lords Select Committee on Intergenerational Unfairness HL Paper 329 published 25 April 2019.</w:t>
      </w:r>
    </w:p>
    <w:p w14:paraId="0D0239ED" w14:textId="77777777" w:rsidR="00602150" w:rsidRDefault="00602150" w:rsidP="005727B8">
      <w:pPr>
        <w:rPr>
          <w:b/>
          <w:bCs/>
          <w:sz w:val="24"/>
          <w:szCs w:val="24"/>
        </w:rPr>
      </w:pPr>
    </w:p>
    <w:p w14:paraId="2F2C8C85" w14:textId="49A9AA97" w:rsidR="006B753E" w:rsidRDefault="006B753E" w:rsidP="005727B8">
      <w:pPr>
        <w:rPr>
          <w:b/>
          <w:bCs/>
          <w:sz w:val="24"/>
          <w:szCs w:val="24"/>
        </w:rPr>
      </w:pPr>
      <w:r w:rsidRPr="002F09BF">
        <w:rPr>
          <w:b/>
          <w:bCs/>
          <w:sz w:val="24"/>
          <w:szCs w:val="24"/>
        </w:rPr>
        <w:t>However,</w:t>
      </w:r>
      <w:r w:rsidR="005727B8" w:rsidRPr="002F09BF">
        <w:rPr>
          <w:b/>
          <w:bCs/>
          <w:sz w:val="24"/>
          <w:szCs w:val="24"/>
        </w:rPr>
        <w:t xml:space="preserve"> UNISON strongly disagrees</w:t>
      </w:r>
    </w:p>
    <w:p w14:paraId="7A274DC1" w14:textId="1CB58CF3" w:rsidR="005727B8" w:rsidRPr="00F61243" w:rsidRDefault="00C347D7" w:rsidP="005727B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727B8" w:rsidRPr="00F61243">
        <w:rPr>
          <w:sz w:val="24"/>
          <w:szCs w:val="24"/>
        </w:rPr>
        <w:t xml:space="preserve">he triple lock is not only fair to younger generations but essential especially for those that will have to rely on the State Pension for a high proportion of their </w:t>
      </w:r>
      <w:r w:rsidR="00440E29">
        <w:rPr>
          <w:sz w:val="24"/>
          <w:szCs w:val="24"/>
        </w:rPr>
        <w:t>retirement income</w:t>
      </w:r>
      <w:r w:rsidR="005A4EBB">
        <w:rPr>
          <w:sz w:val="24"/>
          <w:szCs w:val="24"/>
        </w:rPr>
        <w:t xml:space="preserve"> when they reach retirement.</w:t>
      </w:r>
    </w:p>
    <w:p w14:paraId="7A274DC2" w14:textId="456ADEBC" w:rsidR="005727B8" w:rsidRP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>The removal of the triple lock would mean the relative value of the State Pension would start to decline again as it did between 1980 and 200</w:t>
      </w:r>
      <w:r w:rsidR="004C6A4B">
        <w:rPr>
          <w:sz w:val="24"/>
          <w:szCs w:val="24"/>
        </w:rPr>
        <w:t>3</w:t>
      </w:r>
      <w:r w:rsidRPr="00F61243">
        <w:rPr>
          <w:sz w:val="24"/>
          <w:szCs w:val="24"/>
        </w:rPr>
        <w:t xml:space="preserve"> when it was only linked to price inflation.</w:t>
      </w:r>
    </w:p>
    <w:p w14:paraId="7A274DC3" w14:textId="3125BA97" w:rsidR="005727B8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The younger generations need the triple lock to survive for </w:t>
      </w:r>
      <w:r w:rsidR="00277209" w:rsidRPr="00F61243">
        <w:rPr>
          <w:sz w:val="24"/>
          <w:szCs w:val="24"/>
        </w:rPr>
        <w:t>them,</w:t>
      </w:r>
      <w:r w:rsidRPr="00F61243">
        <w:rPr>
          <w:sz w:val="24"/>
          <w:szCs w:val="24"/>
        </w:rPr>
        <w:t xml:space="preserve"> so they have a decent state pension when they finally reach state pension age</w:t>
      </w:r>
      <w:r w:rsidR="007B3988">
        <w:rPr>
          <w:sz w:val="24"/>
          <w:szCs w:val="24"/>
        </w:rPr>
        <w:t>.</w:t>
      </w:r>
    </w:p>
    <w:p w14:paraId="3C16AB65" w14:textId="597B929C" w:rsidR="007B3988" w:rsidRDefault="00CE7A18" w:rsidP="005727B8">
      <w:pPr>
        <w:rPr>
          <w:sz w:val="24"/>
          <w:szCs w:val="24"/>
        </w:rPr>
      </w:pPr>
      <w:r>
        <w:rPr>
          <w:sz w:val="24"/>
          <w:szCs w:val="24"/>
        </w:rPr>
        <w:t xml:space="preserve">Continuing declines </w:t>
      </w:r>
      <w:r w:rsidR="00862110">
        <w:rPr>
          <w:sz w:val="24"/>
          <w:szCs w:val="24"/>
        </w:rPr>
        <w:t xml:space="preserve">in the coverage in Defined Benefit </w:t>
      </w:r>
      <w:r w:rsidR="00277209">
        <w:rPr>
          <w:sz w:val="24"/>
          <w:szCs w:val="24"/>
        </w:rPr>
        <w:t>workplace</w:t>
      </w:r>
      <w:r w:rsidR="00862110">
        <w:rPr>
          <w:sz w:val="24"/>
          <w:szCs w:val="24"/>
        </w:rPr>
        <w:t xml:space="preserve"> pensions</w:t>
      </w:r>
      <w:r w:rsidR="00A57E13">
        <w:rPr>
          <w:sz w:val="24"/>
          <w:szCs w:val="24"/>
        </w:rPr>
        <w:t xml:space="preserve"> in favour of </w:t>
      </w:r>
      <w:r w:rsidR="00452785">
        <w:rPr>
          <w:sz w:val="24"/>
          <w:szCs w:val="24"/>
        </w:rPr>
        <w:t>Defined Contributions schem</w:t>
      </w:r>
      <w:r w:rsidR="00D02939">
        <w:rPr>
          <w:sz w:val="24"/>
          <w:szCs w:val="24"/>
        </w:rPr>
        <w:t>e</w:t>
      </w:r>
      <w:r w:rsidR="00452785">
        <w:rPr>
          <w:sz w:val="24"/>
          <w:szCs w:val="24"/>
        </w:rPr>
        <w:t xml:space="preserve">s means an increasing proportion of the current </w:t>
      </w:r>
      <w:r w:rsidR="00D02939">
        <w:rPr>
          <w:sz w:val="24"/>
          <w:szCs w:val="24"/>
        </w:rPr>
        <w:t>workforce are facing an uncertain future and likely</w:t>
      </w:r>
      <w:r w:rsidR="002F09BF">
        <w:rPr>
          <w:sz w:val="24"/>
          <w:szCs w:val="24"/>
        </w:rPr>
        <w:t xml:space="preserve"> to have </w:t>
      </w:r>
      <w:r w:rsidR="00D02939">
        <w:rPr>
          <w:sz w:val="24"/>
          <w:szCs w:val="24"/>
        </w:rPr>
        <w:t>significantly lower income in retirement.</w:t>
      </w:r>
    </w:p>
    <w:p w14:paraId="5C4124F5" w14:textId="77777777" w:rsidR="001C2AB5" w:rsidRDefault="00D02939" w:rsidP="005727B8">
      <w:pPr>
        <w:rPr>
          <w:sz w:val="24"/>
          <w:szCs w:val="24"/>
        </w:rPr>
      </w:pPr>
      <w:r>
        <w:rPr>
          <w:sz w:val="24"/>
          <w:szCs w:val="24"/>
        </w:rPr>
        <w:t xml:space="preserve">Recent </w:t>
      </w:r>
      <w:r w:rsidR="00E262D4">
        <w:rPr>
          <w:sz w:val="24"/>
          <w:szCs w:val="24"/>
        </w:rPr>
        <w:t xml:space="preserve">work doing examples of likely pension outcomes for care works has shown the minimum </w:t>
      </w:r>
      <w:r w:rsidR="0024703C">
        <w:rPr>
          <w:sz w:val="24"/>
          <w:szCs w:val="24"/>
        </w:rPr>
        <w:t>employer contributions to the</w:t>
      </w:r>
      <w:r w:rsidR="00107B8E">
        <w:rPr>
          <w:sz w:val="24"/>
          <w:szCs w:val="24"/>
        </w:rPr>
        <w:t xml:space="preserve"> auto enrolment arrangement will produce inadequate income and members will have to r</w:t>
      </w:r>
      <w:r w:rsidR="00277209">
        <w:rPr>
          <w:sz w:val="24"/>
          <w:szCs w:val="24"/>
        </w:rPr>
        <w:t xml:space="preserve">ely increasingly </w:t>
      </w:r>
      <w:r w:rsidR="00107B8E">
        <w:rPr>
          <w:sz w:val="24"/>
          <w:szCs w:val="24"/>
        </w:rPr>
        <w:t xml:space="preserve"> on the S</w:t>
      </w:r>
      <w:r w:rsidR="00277209">
        <w:rPr>
          <w:sz w:val="24"/>
          <w:szCs w:val="24"/>
        </w:rPr>
        <w:t>tate pension to survive so any reduction in it projected relative value could have dire results for future pension poverty</w:t>
      </w:r>
      <w:r w:rsidR="00AA654E">
        <w:rPr>
          <w:sz w:val="24"/>
          <w:szCs w:val="24"/>
        </w:rPr>
        <w:t>.</w:t>
      </w:r>
      <w:r w:rsidR="002F09BF">
        <w:rPr>
          <w:sz w:val="24"/>
          <w:szCs w:val="24"/>
        </w:rPr>
        <w:t xml:space="preserve"> </w:t>
      </w:r>
    </w:p>
    <w:p w14:paraId="5079221C" w14:textId="4A33B687" w:rsidR="00D02939" w:rsidRPr="005A4EBB" w:rsidRDefault="002F09BF" w:rsidP="005727B8">
      <w:pPr>
        <w:rPr>
          <w:b/>
          <w:bCs/>
          <w:sz w:val="24"/>
          <w:szCs w:val="24"/>
        </w:rPr>
      </w:pPr>
      <w:r w:rsidRPr="005A4EBB">
        <w:rPr>
          <w:b/>
          <w:bCs/>
          <w:sz w:val="24"/>
          <w:szCs w:val="24"/>
        </w:rPr>
        <w:t xml:space="preserve">Cutting the relative value of the state pension is a false economy and far from </w:t>
      </w:r>
      <w:r w:rsidR="005A4EBB" w:rsidRPr="005A4EBB">
        <w:rPr>
          <w:b/>
          <w:bCs/>
          <w:sz w:val="24"/>
          <w:szCs w:val="24"/>
        </w:rPr>
        <w:t xml:space="preserve">reducing the impact on taxpayers </w:t>
      </w:r>
      <w:r w:rsidR="005A4EBB">
        <w:rPr>
          <w:b/>
          <w:bCs/>
          <w:sz w:val="24"/>
          <w:szCs w:val="24"/>
        </w:rPr>
        <w:t xml:space="preserve">it </w:t>
      </w:r>
      <w:r w:rsidR="005A4EBB" w:rsidRPr="005A4EBB">
        <w:rPr>
          <w:b/>
          <w:bCs/>
          <w:sz w:val="24"/>
          <w:szCs w:val="24"/>
        </w:rPr>
        <w:t xml:space="preserve">is likely to increase it </w:t>
      </w:r>
      <w:r w:rsidR="00F1018E">
        <w:rPr>
          <w:b/>
          <w:bCs/>
          <w:sz w:val="24"/>
          <w:szCs w:val="24"/>
        </w:rPr>
        <w:t>for</w:t>
      </w:r>
      <w:r w:rsidR="005A4EBB" w:rsidRPr="005A4EBB">
        <w:rPr>
          <w:b/>
          <w:bCs/>
          <w:sz w:val="24"/>
          <w:szCs w:val="24"/>
        </w:rPr>
        <w:t xml:space="preserve"> the future</w:t>
      </w:r>
      <w:r w:rsidR="001C2AB5">
        <w:rPr>
          <w:b/>
          <w:bCs/>
          <w:sz w:val="24"/>
          <w:szCs w:val="24"/>
        </w:rPr>
        <w:t>.</w:t>
      </w:r>
    </w:p>
    <w:p w14:paraId="168A7A1E" w14:textId="77777777" w:rsidR="005A4EBB" w:rsidRDefault="005A4EBB" w:rsidP="005727B8">
      <w:pPr>
        <w:rPr>
          <w:sz w:val="24"/>
          <w:szCs w:val="24"/>
        </w:rPr>
      </w:pPr>
    </w:p>
    <w:p w14:paraId="01AF4B4B" w14:textId="77777777" w:rsidR="00223385" w:rsidRDefault="00223385" w:rsidP="005727B8">
      <w:pPr>
        <w:rPr>
          <w:b/>
          <w:bCs/>
          <w:sz w:val="32"/>
          <w:szCs w:val="32"/>
        </w:rPr>
      </w:pPr>
    </w:p>
    <w:p w14:paraId="3458C86A" w14:textId="77777777" w:rsidR="00223385" w:rsidRDefault="00223385" w:rsidP="005727B8">
      <w:pPr>
        <w:rPr>
          <w:b/>
          <w:bCs/>
          <w:sz w:val="32"/>
          <w:szCs w:val="32"/>
        </w:rPr>
      </w:pPr>
    </w:p>
    <w:p w14:paraId="3216F9D7" w14:textId="3CE83C29" w:rsidR="00AA654E" w:rsidRPr="00F1018E" w:rsidRDefault="00AA654E" w:rsidP="005727B8">
      <w:pPr>
        <w:rPr>
          <w:b/>
          <w:bCs/>
          <w:sz w:val="32"/>
          <w:szCs w:val="32"/>
        </w:rPr>
      </w:pPr>
      <w:r w:rsidRPr="00F1018E">
        <w:rPr>
          <w:b/>
          <w:bCs/>
          <w:sz w:val="32"/>
          <w:szCs w:val="32"/>
        </w:rPr>
        <w:lastRenderedPageBreak/>
        <w:t>The politics</w:t>
      </w:r>
    </w:p>
    <w:p w14:paraId="2DD74AB3" w14:textId="77777777" w:rsidR="00D02939" w:rsidRPr="00F61243" w:rsidRDefault="00D02939" w:rsidP="005727B8">
      <w:pPr>
        <w:rPr>
          <w:sz w:val="24"/>
          <w:szCs w:val="24"/>
        </w:rPr>
      </w:pPr>
    </w:p>
    <w:p w14:paraId="7A274DC5" w14:textId="66F24246" w:rsidR="00F61243" w:rsidRDefault="005727B8" w:rsidP="005727B8">
      <w:pPr>
        <w:rPr>
          <w:sz w:val="24"/>
          <w:szCs w:val="24"/>
        </w:rPr>
      </w:pPr>
      <w:r w:rsidRPr="00F61243">
        <w:rPr>
          <w:sz w:val="24"/>
          <w:szCs w:val="24"/>
        </w:rPr>
        <w:t xml:space="preserve">At the </w:t>
      </w:r>
      <w:r w:rsidR="00546B48">
        <w:rPr>
          <w:sz w:val="24"/>
          <w:szCs w:val="24"/>
        </w:rPr>
        <w:t xml:space="preserve">2010 election </w:t>
      </w:r>
      <w:r w:rsidRPr="00F61243">
        <w:rPr>
          <w:sz w:val="24"/>
          <w:szCs w:val="24"/>
        </w:rPr>
        <w:t>the Conservatives pledged to remove the 2.5% minimum increase.</w:t>
      </w:r>
      <w:r w:rsidR="00F61243" w:rsidRPr="00F61243">
        <w:rPr>
          <w:sz w:val="24"/>
          <w:szCs w:val="24"/>
        </w:rPr>
        <w:t xml:space="preserve"> </w:t>
      </w:r>
      <w:r w:rsidRPr="00F61243">
        <w:rPr>
          <w:sz w:val="24"/>
          <w:szCs w:val="24"/>
        </w:rPr>
        <w:t>The DUP insisted as part of the deal to keep the Conservatives in power that it was retained</w:t>
      </w:r>
      <w:r w:rsidR="00F61243" w:rsidRPr="00F61243">
        <w:rPr>
          <w:sz w:val="24"/>
          <w:szCs w:val="24"/>
        </w:rPr>
        <w:t xml:space="preserve">. </w:t>
      </w:r>
    </w:p>
    <w:p w14:paraId="5584715A" w14:textId="77777777" w:rsidR="00546B48" w:rsidRDefault="00883171" w:rsidP="005727B8">
      <w:p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546B48">
        <w:rPr>
          <w:sz w:val="24"/>
          <w:szCs w:val="24"/>
        </w:rPr>
        <w:t>2019</w:t>
      </w:r>
      <w:r>
        <w:rPr>
          <w:sz w:val="24"/>
          <w:szCs w:val="24"/>
        </w:rPr>
        <w:t xml:space="preserve"> election the Conservatives gave a </w:t>
      </w:r>
      <w:r w:rsidR="00815089">
        <w:rPr>
          <w:sz w:val="24"/>
          <w:szCs w:val="24"/>
        </w:rPr>
        <w:t xml:space="preserve">pledge the triple lock would be </w:t>
      </w:r>
      <w:r w:rsidR="00D7628D">
        <w:rPr>
          <w:sz w:val="24"/>
          <w:szCs w:val="24"/>
        </w:rPr>
        <w:t>retained</w:t>
      </w:r>
      <w:r w:rsidR="00815089">
        <w:rPr>
          <w:sz w:val="24"/>
          <w:szCs w:val="24"/>
        </w:rPr>
        <w:t xml:space="preserve"> during this parliament. </w:t>
      </w:r>
    </w:p>
    <w:p w14:paraId="00CB1818" w14:textId="0A94B2BD" w:rsidR="00883171" w:rsidRDefault="00815089" w:rsidP="005727B8">
      <w:pPr>
        <w:rPr>
          <w:sz w:val="24"/>
          <w:szCs w:val="24"/>
        </w:rPr>
      </w:pPr>
      <w:r>
        <w:rPr>
          <w:sz w:val="24"/>
          <w:szCs w:val="24"/>
        </w:rPr>
        <w:t xml:space="preserve">Pressure is growing to </w:t>
      </w:r>
      <w:r w:rsidR="00DF10CB">
        <w:rPr>
          <w:sz w:val="24"/>
          <w:szCs w:val="24"/>
        </w:rPr>
        <w:t xml:space="preserve">reduce future </w:t>
      </w:r>
      <w:r w:rsidR="00EF7069">
        <w:rPr>
          <w:sz w:val="24"/>
          <w:szCs w:val="24"/>
        </w:rPr>
        <w:t xml:space="preserve">state </w:t>
      </w:r>
      <w:r w:rsidR="00DF10CB">
        <w:rPr>
          <w:sz w:val="24"/>
          <w:szCs w:val="24"/>
        </w:rPr>
        <w:t>pension increases</w:t>
      </w:r>
      <w:r w:rsidR="00D7628D">
        <w:rPr>
          <w:sz w:val="24"/>
          <w:szCs w:val="24"/>
        </w:rPr>
        <w:t xml:space="preserve"> with </w:t>
      </w:r>
      <w:r w:rsidR="00546B48">
        <w:rPr>
          <w:sz w:val="24"/>
          <w:szCs w:val="24"/>
        </w:rPr>
        <w:t xml:space="preserve">the </w:t>
      </w:r>
      <w:proofErr w:type="spellStart"/>
      <w:r w:rsidR="00D7628D">
        <w:rPr>
          <w:sz w:val="24"/>
          <w:szCs w:val="24"/>
        </w:rPr>
        <w:t>Covid</w:t>
      </w:r>
      <w:proofErr w:type="spellEnd"/>
      <w:r w:rsidR="00546B48">
        <w:rPr>
          <w:sz w:val="24"/>
          <w:szCs w:val="24"/>
        </w:rPr>
        <w:t xml:space="preserve"> crisis</w:t>
      </w:r>
      <w:r w:rsidR="00D7628D">
        <w:rPr>
          <w:sz w:val="24"/>
          <w:szCs w:val="24"/>
        </w:rPr>
        <w:t xml:space="preserve"> being used</w:t>
      </w:r>
      <w:r w:rsidR="00B76158">
        <w:rPr>
          <w:sz w:val="24"/>
          <w:szCs w:val="24"/>
        </w:rPr>
        <w:t xml:space="preserve"> as an excuse</w:t>
      </w:r>
      <w:r w:rsidR="00D7628D">
        <w:rPr>
          <w:sz w:val="24"/>
          <w:szCs w:val="24"/>
        </w:rPr>
        <w:t>.</w:t>
      </w:r>
    </w:p>
    <w:p w14:paraId="21746776" w14:textId="692AC1AD" w:rsidR="00D7628D" w:rsidRPr="00F61243" w:rsidRDefault="00D7628D" w:rsidP="005727B8">
      <w:pPr>
        <w:rPr>
          <w:sz w:val="24"/>
          <w:szCs w:val="24"/>
        </w:rPr>
      </w:pPr>
      <w:r>
        <w:rPr>
          <w:sz w:val="24"/>
          <w:szCs w:val="24"/>
        </w:rPr>
        <w:t xml:space="preserve">Reports are that the </w:t>
      </w:r>
      <w:r w:rsidR="00981CF1">
        <w:rPr>
          <w:sz w:val="24"/>
          <w:szCs w:val="24"/>
        </w:rPr>
        <w:t>c</w:t>
      </w:r>
      <w:r>
        <w:rPr>
          <w:sz w:val="24"/>
          <w:szCs w:val="24"/>
        </w:rPr>
        <w:t xml:space="preserve">hancellor is in favour of </w:t>
      </w:r>
      <w:r w:rsidR="00EF7069">
        <w:rPr>
          <w:sz w:val="24"/>
          <w:szCs w:val="24"/>
        </w:rPr>
        <w:t>cutting the triple lock</w:t>
      </w:r>
      <w:r w:rsidR="009373E4">
        <w:rPr>
          <w:sz w:val="24"/>
          <w:szCs w:val="24"/>
        </w:rPr>
        <w:t xml:space="preserve"> </w:t>
      </w:r>
      <w:r w:rsidR="00D55035">
        <w:rPr>
          <w:sz w:val="24"/>
          <w:szCs w:val="24"/>
        </w:rPr>
        <w:t>although for</w:t>
      </w:r>
      <w:r w:rsidR="00981CF1">
        <w:rPr>
          <w:sz w:val="24"/>
          <w:szCs w:val="24"/>
        </w:rPr>
        <w:t xml:space="preserve">, </w:t>
      </w:r>
      <w:r w:rsidR="00D55035">
        <w:rPr>
          <w:sz w:val="24"/>
          <w:szCs w:val="24"/>
        </w:rPr>
        <w:t>what it is worth</w:t>
      </w:r>
      <w:r w:rsidR="00981CF1">
        <w:rPr>
          <w:sz w:val="24"/>
          <w:szCs w:val="24"/>
        </w:rPr>
        <w:t>,</w:t>
      </w:r>
      <w:r w:rsidR="00D55035">
        <w:rPr>
          <w:sz w:val="24"/>
          <w:szCs w:val="24"/>
        </w:rPr>
        <w:t xml:space="preserve"> the prime minister </w:t>
      </w:r>
      <w:r w:rsidR="009373E4">
        <w:rPr>
          <w:sz w:val="24"/>
          <w:szCs w:val="24"/>
        </w:rPr>
        <w:t xml:space="preserve">may still be </w:t>
      </w:r>
      <w:r w:rsidR="00D55035">
        <w:rPr>
          <w:sz w:val="24"/>
          <w:szCs w:val="24"/>
        </w:rPr>
        <w:t>reluctant</w:t>
      </w:r>
      <w:r w:rsidR="00602150">
        <w:rPr>
          <w:sz w:val="24"/>
          <w:szCs w:val="24"/>
        </w:rPr>
        <w:t>.</w:t>
      </w:r>
    </w:p>
    <w:p w14:paraId="7A274DC6" w14:textId="28423F3E" w:rsidR="00F61243" w:rsidRDefault="00F61243" w:rsidP="005727B8">
      <w:pPr>
        <w:rPr>
          <w:sz w:val="24"/>
          <w:szCs w:val="24"/>
        </w:rPr>
      </w:pPr>
    </w:p>
    <w:p w14:paraId="38C38530" w14:textId="77777777" w:rsidR="00AF10AD" w:rsidRDefault="00981CF1" w:rsidP="005727B8">
      <w:pPr>
        <w:rPr>
          <w:b/>
          <w:bCs/>
          <w:sz w:val="24"/>
          <w:szCs w:val="24"/>
        </w:rPr>
      </w:pPr>
      <w:r w:rsidRPr="00981CF1">
        <w:rPr>
          <w:b/>
          <w:bCs/>
          <w:sz w:val="24"/>
          <w:szCs w:val="24"/>
        </w:rPr>
        <w:t xml:space="preserve">Glyn Jenkins </w:t>
      </w:r>
    </w:p>
    <w:p w14:paraId="0E90DA2B" w14:textId="77777777" w:rsidR="00AF10AD" w:rsidRDefault="00AF10AD" w:rsidP="005727B8">
      <w:pPr>
        <w:rPr>
          <w:b/>
          <w:bCs/>
          <w:sz w:val="24"/>
          <w:szCs w:val="24"/>
        </w:rPr>
      </w:pPr>
    </w:p>
    <w:p w14:paraId="416E6B1D" w14:textId="3FD94DF7" w:rsidR="00981CF1" w:rsidRPr="00981CF1" w:rsidRDefault="00981CF1" w:rsidP="005727B8">
      <w:pPr>
        <w:rPr>
          <w:b/>
          <w:bCs/>
          <w:sz w:val="24"/>
          <w:szCs w:val="24"/>
        </w:rPr>
      </w:pPr>
      <w:r w:rsidRPr="00981CF1">
        <w:rPr>
          <w:b/>
          <w:bCs/>
          <w:sz w:val="24"/>
          <w:szCs w:val="24"/>
        </w:rPr>
        <w:t>August 2020</w:t>
      </w:r>
      <w:r w:rsidR="00E137DD">
        <w:rPr>
          <w:b/>
          <w:bCs/>
          <w:sz w:val="24"/>
          <w:szCs w:val="24"/>
        </w:rPr>
        <w:t xml:space="preserve"> (updated table July 2021)</w:t>
      </w:r>
    </w:p>
    <w:p w14:paraId="7A274DC7" w14:textId="77777777" w:rsidR="005727B8" w:rsidRPr="005727B8" w:rsidRDefault="005727B8" w:rsidP="005727B8">
      <w:r w:rsidRPr="005727B8">
        <w:tab/>
      </w:r>
    </w:p>
    <w:p w14:paraId="7A274DC8" w14:textId="77777777" w:rsidR="005727B8" w:rsidRPr="005727B8" w:rsidRDefault="005727B8" w:rsidP="005727B8"/>
    <w:p w14:paraId="7A274DC9" w14:textId="77777777" w:rsidR="005727B8" w:rsidRPr="005727B8" w:rsidRDefault="005727B8" w:rsidP="005727B8"/>
    <w:p w14:paraId="7A274DCA" w14:textId="77777777" w:rsidR="005727B8" w:rsidRPr="005727B8" w:rsidRDefault="005727B8" w:rsidP="005727B8"/>
    <w:p w14:paraId="7A274DCB" w14:textId="77777777" w:rsidR="0096648D" w:rsidRDefault="0096648D"/>
    <w:sectPr w:rsidR="0096648D" w:rsidSect="00966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CFC5" w14:textId="77777777" w:rsidR="0043351D" w:rsidRDefault="0043351D" w:rsidP="009F3BB4">
      <w:pPr>
        <w:spacing w:after="0" w:line="240" w:lineRule="auto"/>
      </w:pPr>
      <w:r>
        <w:separator/>
      </w:r>
    </w:p>
  </w:endnote>
  <w:endnote w:type="continuationSeparator" w:id="0">
    <w:p w14:paraId="207C194A" w14:textId="77777777" w:rsidR="0043351D" w:rsidRDefault="0043351D" w:rsidP="009F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Moder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5437" w14:textId="77777777" w:rsidR="009F3BB4" w:rsidRDefault="009F3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5AB7" w14:textId="77777777" w:rsidR="009F3BB4" w:rsidRDefault="009F3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37D6" w14:textId="77777777" w:rsidR="009F3BB4" w:rsidRDefault="009F3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171F" w14:textId="77777777" w:rsidR="0043351D" w:rsidRDefault="0043351D" w:rsidP="009F3BB4">
      <w:pPr>
        <w:spacing w:after="0" w:line="240" w:lineRule="auto"/>
      </w:pPr>
      <w:r>
        <w:separator/>
      </w:r>
    </w:p>
  </w:footnote>
  <w:footnote w:type="continuationSeparator" w:id="0">
    <w:p w14:paraId="67A313A6" w14:textId="77777777" w:rsidR="0043351D" w:rsidRDefault="0043351D" w:rsidP="009F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1273" w14:textId="77777777" w:rsidR="009F3BB4" w:rsidRDefault="009F3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F74B" w14:textId="77777777" w:rsidR="009F3BB4" w:rsidRDefault="009F3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91C8" w14:textId="77777777" w:rsidR="009F3BB4" w:rsidRDefault="009F3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7CD"/>
    <w:multiLevelType w:val="hybridMultilevel"/>
    <w:tmpl w:val="AC469902"/>
    <w:lvl w:ilvl="0" w:tplc="8862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A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E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0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8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62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B8"/>
    <w:rsid w:val="00021746"/>
    <w:rsid w:val="000352CA"/>
    <w:rsid w:val="000623D4"/>
    <w:rsid w:val="00081D8B"/>
    <w:rsid w:val="00085451"/>
    <w:rsid w:val="00092D6D"/>
    <w:rsid w:val="000A67C0"/>
    <w:rsid w:val="000B7C77"/>
    <w:rsid w:val="000D11B6"/>
    <w:rsid w:val="000D7DC9"/>
    <w:rsid w:val="000E76C0"/>
    <w:rsid w:val="00107B8E"/>
    <w:rsid w:val="00120508"/>
    <w:rsid w:val="00140FF7"/>
    <w:rsid w:val="00153C81"/>
    <w:rsid w:val="00197CBB"/>
    <w:rsid w:val="001B6BB9"/>
    <w:rsid w:val="001C2AB5"/>
    <w:rsid w:val="001D28A3"/>
    <w:rsid w:val="001D7DBC"/>
    <w:rsid w:val="00223385"/>
    <w:rsid w:val="00230CDA"/>
    <w:rsid w:val="0024703C"/>
    <w:rsid w:val="00252A98"/>
    <w:rsid w:val="00277209"/>
    <w:rsid w:val="00282372"/>
    <w:rsid w:val="00290104"/>
    <w:rsid w:val="00290327"/>
    <w:rsid w:val="002A41E2"/>
    <w:rsid w:val="002D3E0B"/>
    <w:rsid w:val="002E3CEC"/>
    <w:rsid w:val="002F09BF"/>
    <w:rsid w:val="0030666C"/>
    <w:rsid w:val="00311CC0"/>
    <w:rsid w:val="00330826"/>
    <w:rsid w:val="003340FF"/>
    <w:rsid w:val="00336282"/>
    <w:rsid w:val="00387B11"/>
    <w:rsid w:val="003B46A7"/>
    <w:rsid w:val="003B64C0"/>
    <w:rsid w:val="0043351D"/>
    <w:rsid w:val="00440E29"/>
    <w:rsid w:val="00452785"/>
    <w:rsid w:val="00494085"/>
    <w:rsid w:val="004C6A4B"/>
    <w:rsid w:val="004E2396"/>
    <w:rsid w:val="004E4191"/>
    <w:rsid w:val="004E6781"/>
    <w:rsid w:val="00501496"/>
    <w:rsid w:val="005107E2"/>
    <w:rsid w:val="00512B6D"/>
    <w:rsid w:val="00546B48"/>
    <w:rsid w:val="005727B8"/>
    <w:rsid w:val="0058013E"/>
    <w:rsid w:val="005A0FBE"/>
    <w:rsid w:val="005A4EBB"/>
    <w:rsid w:val="005A5422"/>
    <w:rsid w:val="005C7A13"/>
    <w:rsid w:val="00602150"/>
    <w:rsid w:val="006029E1"/>
    <w:rsid w:val="00614037"/>
    <w:rsid w:val="006848DD"/>
    <w:rsid w:val="00690A50"/>
    <w:rsid w:val="006914F2"/>
    <w:rsid w:val="006B753E"/>
    <w:rsid w:val="006C650C"/>
    <w:rsid w:val="006C7A97"/>
    <w:rsid w:val="006D2C0C"/>
    <w:rsid w:val="006D5C02"/>
    <w:rsid w:val="00711EE0"/>
    <w:rsid w:val="00731283"/>
    <w:rsid w:val="0074566F"/>
    <w:rsid w:val="0077030A"/>
    <w:rsid w:val="0078065E"/>
    <w:rsid w:val="007B3988"/>
    <w:rsid w:val="007F7D80"/>
    <w:rsid w:val="0080204F"/>
    <w:rsid w:val="00815089"/>
    <w:rsid w:val="00816CAD"/>
    <w:rsid w:val="00844065"/>
    <w:rsid w:val="00862110"/>
    <w:rsid w:val="00875457"/>
    <w:rsid w:val="0088060A"/>
    <w:rsid w:val="00883171"/>
    <w:rsid w:val="00884E6E"/>
    <w:rsid w:val="008F161B"/>
    <w:rsid w:val="008F28B9"/>
    <w:rsid w:val="008F32B3"/>
    <w:rsid w:val="00910B5B"/>
    <w:rsid w:val="00932A07"/>
    <w:rsid w:val="009373E4"/>
    <w:rsid w:val="0096648D"/>
    <w:rsid w:val="00981CF1"/>
    <w:rsid w:val="0098584E"/>
    <w:rsid w:val="00990764"/>
    <w:rsid w:val="009911B2"/>
    <w:rsid w:val="009A1A11"/>
    <w:rsid w:val="009F3BB4"/>
    <w:rsid w:val="00A46A38"/>
    <w:rsid w:val="00A56F5B"/>
    <w:rsid w:val="00A57E13"/>
    <w:rsid w:val="00A81058"/>
    <w:rsid w:val="00A9173C"/>
    <w:rsid w:val="00AA0488"/>
    <w:rsid w:val="00AA5A8B"/>
    <w:rsid w:val="00AA654E"/>
    <w:rsid w:val="00AB4716"/>
    <w:rsid w:val="00AF10AD"/>
    <w:rsid w:val="00AF2055"/>
    <w:rsid w:val="00AF31CC"/>
    <w:rsid w:val="00B22BF1"/>
    <w:rsid w:val="00B2778C"/>
    <w:rsid w:val="00B45DE3"/>
    <w:rsid w:val="00B544B5"/>
    <w:rsid w:val="00B56895"/>
    <w:rsid w:val="00B61A04"/>
    <w:rsid w:val="00B76158"/>
    <w:rsid w:val="00B87503"/>
    <w:rsid w:val="00B92CD8"/>
    <w:rsid w:val="00B96AFC"/>
    <w:rsid w:val="00BD477D"/>
    <w:rsid w:val="00BE5730"/>
    <w:rsid w:val="00C007B0"/>
    <w:rsid w:val="00C0737C"/>
    <w:rsid w:val="00C166AE"/>
    <w:rsid w:val="00C347D7"/>
    <w:rsid w:val="00CB0EF2"/>
    <w:rsid w:val="00CB4E6D"/>
    <w:rsid w:val="00CC40FB"/>
    <w:rsid w:val="00CE3F3A"/>
    <w:rsid w:val="00CE7A18"/>
    <w:rsid w:val="00D02939"/>
    <w:rsid w:val="00D20925"/>
    <w:rsid w:val="00D353CB"/>
    <w:rsid w:val="00D368A8"/>
    <w:rsid w:val="00D55035"/>
    <w:rsid w:val="00D604EE"/>
    <w:rsid w:val="00D7628D"/>
    <w:rsid w:val="00D95D78"/>
    <w:rsid w:val="00DB3F4C"/>
    <w:rsid w:val="00DF10CB"/>
    <w:rsid w:val="00E05C7E"/>
    <w:rsid w:val="00E05D46"/>
    <w:rsid w:val="00E137DD"/>
    <w:rsid w:val="00E262D4"/>
    <w:rsid w:val="00E26D5C"/>
    <w:rsid w:val="00E372B5"/>
    <w:rsid w:val="00E579F4"/>
    <w:rsid w:val="00EB15BF"/>
    <w:rsid w:val="00ED0C3B"/>
    <w:rsid w:val="00EF6CEA"/>
    <w:rsid w:val="00EF7069"/>
    <w:rsid w:val="00F1018E"/>
    <w:rsid w:val="00F21E44"/>
    <w:rsid w:val="00F37810"/>
    <w:rsid w:val="00F44A99"/>
    <w:rsid w:val="00F458A7"/>
    <w:rsid w:val="00F57BDD"/>
    <w:rsid w:val="00F61243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4DA2"/>
  <w15:docId w15:val="{DD75C144-5FB1-4C33-ABBB-9799F1D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B4"/>
  </w:style>
  <w:style w:type="paragraph" w:styleId="Footer">
    <w:name w:val="footer"/>
    <w:basedOn w:val="Normal"/>
    <w:link w:val="FooterChar"/>
    <w:uiPriority w:val="99"/>
    <w:unhideWhenUsed/>
    <w:rsid w:val="009F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B4"/>
  </w:style>
  <w:style w:type="paragraph" w:customStyle="1" w:styleId="Bodycopy">
    <w:name w:val="Body copy"/>
    <w:basedOn w:val="Normal"/>
    <w:qFormat/>
    <w:rsid w:val="00E137DD"/>
  </w:style>
  <w:style w:type="table" w:styleId="TableGrid">
    <w:name w:val="Table Grid"/>
    <w:basedOn w:val="TableNormal"/>
    <w:uiPriority w:val="39"/>
    <w:rsid w:val="00E137DD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1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glynj</dc:creator>
  <cp:lastModifiedBy>Jenkins, Glyn</cp:lastModifiedBy>
  <cp:revision>54</cp:revision>
  <cp:lastPrinted>2021-07-09T10:17:00Z</cp:lastPrinted>
  <dcterms:created xsi:type="dcterms:W3CDTF">2021-07-09T10:27:00Z</dcterms:created>
  <dcterms:modified xsi:type="dcterms:W3CDTF">2021-07-09T17:41:00Z</dcterms:modified>
</cp:coreProperties>
</file>