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50C4" w14:textId="3E13934F" w:rsidR="00BA3F14" w:rsidRDefault="0011711F" w:rsidP="009F75E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Probation Reform Programme</w:t>
      </w:r>
      <w:r w:rsidR="007F08AC">
        <w:rPr>
          <w:rFonts w:ascii="Arial" w:hAnsi="Arial" w:cs="Arial"/>
          <w:b/>
        </w:rPr>
        <w:t xml:space="preserve"> (PRP)</w:t>
      </w:r>
    </w:p>
    <w:p w14:paraId="43F02347" w14:textId="021607E6" w:rsidR="0011711F" w:rsidRDefault="0011711F" w:rsidP="001171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Voluntary Redundancy</w:t>
      </w:r>
      <w:r w:rsidR="006D3ADA">
        <w:rPr>
          <w:rFonts w:ascii="Arial" w:hAnsi="Arial" w:cs="Arial"/>
          <w:b/>
        </w:rPr>
        <w:t xml:space="preserve">/Voluntary </w:t>
      </w:r>
      <w:r w:rsidR="00165DB2">
        <w:rPr>
          <w:rFonts w:ascii="Arial" w:hAnsi="Arial" w:cs="Arial"/>
          <w:b/>
        </w:rPr>
        <w:t>Severance</w:t>
      </w:r>
      <w:r>
        <w:rPr>
          <w:rFonts w:ascii="Arial" w:hAnsi="Arial" w:cs="Arial"/>
          <w:b/>
        </w:rPr>
        <w:t xml:space="preserve"> </w:t>
      </w:r>
      <w:r w:rsidR="00165DB2">
        <w:rPr>
          <w:rFonts w:ascii="Arial" w:hAnsi="Arial" w:cs="Arial"/>
          <w:b/>
        </w:rPr>
        <w:t xml:space="preserve">Scheme &amp; </w:t>
      </w:r>
      <w:r>
        <w:rPr>
          <w:rFonts w:ascii="Arial" w:hAnsi="Arial" w:cs="Arial"/>
          <w:b/>
        </w:rPr>
        <w:t xml:space="preserve">Terms </w:t>
      </w:r>
      <w:r w:rsidR="00267C77">
        <w:rPr>
          <w:rFonts w:ascii="Arial" w:hAnsi="Arial" w:cs="Arial"/>
          <w:b/>
        </w:rPr>
        <w:t>to support Transition</w:t>
      </w:r>
      <w:r w:rsidR="009F75EB">
        <w:rPr>
          <w:rFonts w:ascii="Arial" w:hAnsi="Arial" w:cs="Arial"/>
          <w:b/>
        </w:rPr>
        <w:t xml:space="preserve"> V1.0</w:t>
      </w:r>
    </w:p>
    <w:p w14:paraId="6E863DD8" w14:textId="77777777" w:rsidR="00572F3B" w:rsidRDefault="007F08AC" w:rsidP="001620EE">
      <w:pPr>
        <w:pStyle w:val="ListParagraph"/>
        <w:numPr>
          <w:ilvl w:val="0"/>
          <w:numId w:val="10"/>
        </w:numPr>
        <w:rPr>
          <w:rFonts w:cs="Arial"/>
        </w:rPr>
      </w:pPr>
      <w:r w:rsidRPr="007F08AC">
        <w:rPr>
          <w:rFonts w:cs="Arial"/>
        </w:rPr>
        <w:t>This document</w:t>
      </w:r>
      <w:r>
        <w:rPr>
          <w:rFonts w:cs="Arial"/>
        </w:rPr>
        <w:t xml:space="preserve"> outlines the two-year (effective 25/6/21) </w:t>
      </w:r>
      <w:r w:rsidR="0011711F" w:rsidRPr="007F08AC">
        <w:rPr>
          <w:rFonts w:cs="Arial"/>
        </w:rPr>
        <w:t>Voluntary Redundancy</w:t>
      </w:r>
      <w:r w:rsidR="00C72CA4" w:rsidRPr="007F08AC">
        <w:rPr>
          <w:rFonts w:cs="Arial"/>
        </w:rPr>
        <w:t xml:space="preserve"> (VR) </w:t>
      </w:r>
      <w:r w:rsidR="006D3ADA" w:rsidRPr="007F08AC">
        <w:rPr>
          <w:rFonts w:cs="Arial"/>
        </w:rPr>
        <w:t xml:space="preserve">/Voluntary </w:t>
      </w:r>
      <w:r w:rsidR="00C72CA4" w:rsidRPr="007F08AC">
        <w:rPr>
          <w:rFonts w:cs="Arial"/>
        </w:rPr>
        <w:t>S</w:t>
      </w:r>
      <w:r w:rsidR="00A73B2B" w:rsidRPr="007F08AC">
        <w:rPr>
          <w:rFonts w:cs="Arial"/>
        </w:rPr>
        <w:t>everance (V</w:t>
      </w:r>
      <w:r w:rsidR="00C72CA4" w:rsidRPr="007F08AC">
        <w:rPr>
          <w:rFonts w:cs="Arial"/>
        </w:rPr>
        <w:t>S</w:t>
      </w:r>
      <w:r w:rsidR="00A73B2B" w:rsidRPr="007F08AC">
        <w:rPr>
          <w:rFonts w:cs="Arial"/>
        </w:rPr>
        <w:t>)</w:t>
      </w:r>
      <w:r w:rsidR="0011711F" w:rsidRPr="007F08AC">
        <w:rPr>
          <w:rFonts w:cs="Arial"/>
        </w:rPr>
        <w:t xml:space="preserve"> </w:t>
      </w:r>
      <w:r>
        <w:rPr>
          <w:rFonts w:cs="Arial"/>
        </w:rPr>
        <w:t xml:space="preserve">scheme / terms for CRC staff that transfer to either HMPPS (NPS) or to Dynamic Framework providers, to </w:t>
      </w:r>
      <w:r w:rsidR="0011711F" w:rsidRPr="007F08AC">
        <w:rPr>
          <w:rFonts w:cs="Arial"/>
        </w:rPr>
        <w:t xml:space="preserve">support transition to the Unified Model.  </w:t>
      </w:r>
    </w:p>
    <w:p w14:paraId="2EFF8C9E" w14:textId="77777777" w:rsidR="007F08AC" w:rsidRPr="007F08AC" w:rsidRDefault="007F08AC" w:rsidP="007F08AC">
      <w:pPr>
        <w:pStyle w:val="ListParagraph"/>
        <w:ind w:left="360"/>
        <w:rPr>
          <w:rFonts w:cs="Arial"/>
        </w:rPr>
      </w:pPr>
    </w:p>
    <w:p w14:paraId="1CC25AB3" w14:textId="77777777" w:rsidR="00E7173C" w:rsidRPr="00E7173C" w:rsidRDefault="00C83167" w:rsidP="00E7173C">
      <w:pPr>
        <w:pStyle w:val="ListParagraph"/>
        <w:numPr>
          <w:ilvl w:val="0"/>
          <w:numId w:val="10"/>
        </w:numPr>
        <w:rPr>
          <w:rFonts w:cs="Arial"/>
          <w:lang w:val="en"/>
        </w:rPr>
      </w:pPr>
      <w:r w:rsidRPr="00C83167">
        <w:rPr>
          <w:rFonts w:cs="Arial"/>
          <w:lang w:val="en"/>
        </w:rPr>
        <w:t xml:space="preserve">The government introduced powers to cap exit payments in the public sector at £95,000 in the Small Business, Enterprise and Employment Act 2015. </w:t>
      </w:r>
      <w:r w:rsidR="000266BC">
        <w:rPr>
          <w:rFonts w:cs="Arial"/>
          <w:lang w:val="en"/>
        </w:rPr>
        <w:t xml:space="preserve"> </w:t>
      </w:r>
      <w:r w:rsidRPr="00C83167">
        <w:rPr>
          <w:rFonts w:cs="Arial"/>
          <w:lang w:val="en"/>
        </w:rPr>
        <w:t>The 2015 act sets out the duty to implement the cap through secondary legislation.</w:t>
      </w:r>
      <w:r w:rsidR="00E7173C">
        <w:rPr>
          <w:rFonts w:cs="Arial"/>
          <w:lang w:val="en"/>
        </w:rPr>
        <w:t xml:space="preserve">  </w:t>
      </w:r>
      <w:r w:rsidR="00E7173C" w:rsidRPr="00E7173C">
        <w:rPr>
          <w:rFonts w:cs="Arial"/>
          <w:lang w:val="en"/>
        </w:rPr>
        <w:t>The following categories of public sector employer are within scope of these regulations where they fall within the responsibility of the UK government, regarding their employment:</w:t>
      </w:r>
    </w:p>
    <w:p w14:paraId="671E3B93" w14:textId="77777777" w:rsidR="00E7173C" w:rsidRDefault="00E7173C" w:rsidP="00E7173C">
      <w:pPr>
        <w:pStyle w:val="ListParagraph"/>
        <w:numPr>
          <w:ilvl w:val="1"/>
          <w:numId w:val="10"/>
        </w:numPr>
        <w:rPr>
          <w:rFonts w:cs="Arial"/>
          <w:lang w:val="en"/>
        </w:rPr>
      </w:pPr>
      <w:r w:rsidRPr="00E7173C">
        <w:rPr>
          <w:rFonts w:cs="Arial"/>
          <w:lang w:val="en"/>
        </w:rPr>
        <w:t>the UK Civil Service, its executive agencies, non-ministerial departments and non-departmental public bodies (including Crown non-departmental public bodies and Her Majesty’s Prison and Probation Service)</w:t>
      </w:r>
    </w:p>
    <w:p w14:paraId="0DE0593C" w14:textId="77777777" w:rsidR="00C83167" w:rsidRDefault="00E7173C" w:rsidP="00E7173C">
      <w:pPr>
        <w:pStyle w:val="ListParagraph"/>
        <w:numPr>
          <w:ilvl w:val="1"/>
          <w:numId w:val="10"/>
        </w:numPr>
        <w:rPr>
          <w:rFonts w:cs="Arial"/>
          <w:lang w:val="en"/>
        </w:rPr>
      </w:pPr>
      <w:r w:rsidRPr="00E7173C">
        <w:rPr>
          <w:rFonts w:cs="Arial"/>
          <w:lang w:val="en"/>
        </w:rPr>
        <w:t>local government including fire authorities’ employees and maintained schools</w:t>
      </w:r>
      <w:r>
        <w:rPr>
          <w:rFonts w:cs="Arial"/>
          <w:lang w:val="en"/>
        </w:rPr>
        <w:t>;</w:t>
      </w:r>
    </w:p>
    <w:p w14:paraId="72CC1CAC" w14:textId="77777777" w:rsidR="00E7173C" w:rsidRDefault="00E7173C" w:rsidP="00E7173C">
      <w:pPr>
        <w:pStyle w:val="ListParagraph"/>
        <w:numPr>
          <w:ilvl w:val="1"/>
          <w:numId w:val="10"/>
        </w:numPr>
        <w:rPr>
          <w:rFonts w:cs="Arial"/>
          <w:lang w:val="en"/>
        </w:rPr>
      </w:pPr>
      <w:r>
        <w:rPr>
          <w:rFonts w:cs="Arial"/>
          <w:lang w:val="en"/>
        </w:rPr>
        <w:t>the NHS in England and Wales;</w:t>
      </w:r>
    </w:p>
    <w:p w14:paraId="1B74F670" w14:textId="77777777" w:rsidR="00E7173C" w:rsidRDefault="00E7173C" w:rsidP="00E7173C">
      <w:pPr>
        <w:pStyle w:val="ListParagraph"/>
        <w:numPr>
          <w:ilvl w:val="1"/>
          <w:numId w:val="10"/>
        </w:numPr>
        <w:rPr>
          <w:rFonts w:cs="Arial"/>
          <w:lang w:val="en"/>
        </w:rPr>
      </w:pPr>
      <w:r>
        <w:rPr>
          <w:rFonts w:cs="Arial"/>
          <w:lang w:val="en"/>
        </w:rPr>
        <w:t>academy schools;</w:t>
      </w:r>
    </w:p>
    <w:p w14:paraId="711ED537" w14:textId="77777777" w:rsidR="00E7173C" w:rsidRPr="00E7173C" w:rsidRDefault="00E7173C" w:rsidP="00E7173C">
      <w:pPr>
        <w:pStyle w:val="ListParagraph"/>
        <w:numPr>
          <w:ilvl w:val="1"/>
          <w:numId w:val="10"/>
        </w:numPr>
        <w:rPr>
          <w:rFonts w:cs="Arial"/>
          <w:lang w:val="en"/>
        </w:rPr>
      </w:pPr>
      <w:r w:rsidRPr="00E7173C">
        <w:rPr>
          <w:rFonts w:cs="Arial"/>
          <w:lang w:val="en"/>
        </w:rPr>
        <w:t>police forces, including civilian and uniformed officers</w:t>
      </w:r>
      <w:r>
        <w:rPr>
          <w:rFonts w:cs="Arial"/>
          <w:lang w:val="en"/>
        </w:rPr>
        <w:t>;</w:t>
      </w:r>
    </w:p>
    <w:p w14:paraId="46E69777" w14:textId="77777777" w:rsidR="00E7173C" w:rsidRDefault="00E7173C" w:rsidP="00E7173C">
      <w:pPr>
        <w:pStyle w:val="ListParagraph"/>
        <w:numPr>
          <w:ilvl w:val="0"/>
          <w:numId w:val="10"/>
        </w:numPr>
        <w:rPr>
          <w:rFonts w:cs="Arial"/>
          <w:lang w:val="en"/>
        </w:rPr>
      </w:pPr>
      <w:r>
        <w:rPr>
          <w:rFonts w:cs="Arial"/>
          <w:lang w:val="en"/>
        </w:rPr>
        <w:t>Pension strain costs are within the scope of the regulations.</w:t>
      </w:r>
    </w:p>
    <w:p w14:paraId="174D8D12" w14:textId="77777777" w:rsidR="00E7173C" w:rsidRPr="001620EE" w:rsidRDefault="00E7173C" w:rsidP="00E7173C">
      <w:pPr>
        <w:pStyle w:val="ListParagraph"/>
        <w:numPr>
          <w:ilvl w:val="0"/>
          <w:numId w:val="10"/>
        </w:numPr>
        <w:rPr>
          <w:rFonts w:cs="Arial"/>
          <w:szCs w:val="22"/>
          <w:lang w:val="en"/>
        </w:rPr>
      </w:pPr>
      <w:r>
        <w:rPr>
          <w:rFonts w:cs="Arial"/>
          <w:lang w:val="en"/>
        </w:rPr>
        <w:t xml:space="preserve">The </w:t>
      </w:r>
      <w:r w:rsidR="00EE76F7">
        <w:rPr>
          <w:rFonts w:cs="Arial"/>
          <w:lang w:val="en"/>
        </w:rPr>
        <w:t>government ran a consultation which closed on 3</w:t>
      </w:r>
      <w:r w:rsidR="00EE76F7" w:rsidRPr="00EE76F7">
        <w:rPr>
          <w:rFonts w:cs="Arial"/>
          <w:vertAlign w:val="superscript"/>
          <w:lang w:val="en"/>
        </w:rPr>
        <w:t>rd</w:t>
      </w:r>
      <w:r w:rsidR="00EE76F7">
        <w:rPr>
          <w:rFonts w:cs="Arial"/>
          <w:lang w:val="en"/>
        </w:rPr>
        <w:t xml:space="preserve"> July 2020 about the scope of the </w:t>
      </w:r>
      <w:r w:rsidR="00EE76F7" w:rsidRPr="001620EE">
        <w:rPr>
          <w:rFonts w:cs="Arial"/>
          <w:szCs w:val="22"/>
          <w:lang w:val="en"/>
        </w:rPr>
        <w:t>regulations and on how to implement the</w:t>
      </w:r>
      <w:r w:rsidR="00DD4FE2" w:rsidRPr="001620EE">
        <w:rPr>
          <w:rFonts w:cs="Arial"/>
          <w:szCs w:val="22"/>
          <w:lang w:val="en"/>
        </w:rPr>
        <w:t>m</w:t>
      </w:r>
      <w:r w:rsidR="00EE76F7" w:rsidRPr="001620EE">
        <w:rPr>
          <w:rFonts w:cs="Arial"/>
          <w:szCs w:val="22"/>
          <w:lang w:val="en"/>
        </w:rPr>
        <w:t>.</w:t>
      </w:r>
    </w:p>
    <w:p w14:paraId="1529A10A" w14:textId="77777777" w:rsidR="00DD4FE2" w:rsidRPr="001620EE" w:rsidRDefault="00DD4FE2" w:rsidP="00E7173C">
      <w:pPr>
        <w:pStyle w:val="ListParagraph"/>
        <w:numPr>
          <w:ilvl w:val="0"/>
          <w:numId w:val="10"/>
        </w:numPr>
        <w:rPr>
          <w:rFonts w:cs="Arial"/>
          <w:szCs w:val="22"/>
          <w:lang w:val="en"/>
        </w:rPr>
      </w:pPr>
      <w:r w:rsidRPr="001620EE">
        <w:rPr>
          <w:rFonts w:cs="Arial"/>
          <w:szCs w:val="22"/>
        </w:rPr>
        <w:t>There are exceptions to the cap, including:</w:t>
      </w:r>
    </w:p>
    <w:p w14:paraId="7913CAA1" w14:textId="77777777" w:rsidR="00DD4FE2" w:rsidRPr="001620EE" w:rsidRDefault="00DD4FE2" w:rsidP="00DD4FE2">
      <w:pPr>
        <w:pStyle w:val="ListParagraph"/>
        <w:numPr>
          <w:ilvl w:val="1"/>
          <w:numId w:val="10"/>
        </w:numPr>
        <w:rPr>
          <w:rFonts w:cs="Arial"/>
          <w:szCs w:val="22"/>
          <w:lang w:val="en"/>
        </w:rPr>
      </w:pPr>
      <w:r w:rsidRPr="001620EE">
        <w:rPr>
          <w:rFonts w:cs="Arial"/>
          <w:szCs w:val="22"/>
          <w:lang w:val="en"/>
        </w:rPr>
        <w:t>Individual business cases being made;</w:t>
      </w:r>
    </w:p>
    <w:p w14:paraId="07518611" w14:textId="77777777" w:rsidR="00DD4FE2" w:rsidRPr="001620EE" w:rsidRDefault="00DD4FE2" w:rsidP="00DD4FE2">
      <w:pPr>
        <w:pStyle w:val="ListParagraph"/>
        <w:numPr>
          <w:ilvl w:val="1"/>
          <w:numId w:val="10"/>
        </w:numPr>
        <w:rPr>
          <w:rFonts w:cs="Arial"/>
          <w:szCs w:val="22"/>
          <w:lang w:val="en"/>
        </w:rPr>
      </w:pPr>
      <w:r w:rsidRPr="001620EE">
        <w:rPr>
          <w:rFonts w:cs="Arial"/>
          <w:szCs w:val="22"/>
        </w:rPr>
        <w:t>Exit payments which arise as a result of the application of the 2006 or 1981 TUPE Regs.  Having checked with HMT we are advised that this exception will not include transfers effected via Staff Transfer Scheme.</w:t>
      </w:r>
    </w:p>
    <w:p w14:paraId="5D90EC27" w14:textId="77777777" w:rsidR="00D206AC" w:rsidRPr="0069714B" w:rsidRDefault="00D206AC" w:rsidP="00D206AC">
      <w:pPr>
        <w:pStyle w:val="ListParagraph"/>
        <w:ind w:left="360"/>
        <w:rPr>
          <w:rFonts w:cs="Arial"/>
        </w:rPr>
      </w:pPr>
    </w:p>
    <w:p w14:paraId="1BC073EE" w14:textId="77777777" w:rsidR="0069714B" w:rsidRPr="0069714B" w:rsidRDefault="0011711F" w:rsidP="0011711F">
      <w:pPr>
        <w:pStyle w:val="ListParagraph"/>
        <w:numPr>
          <w:ilvl w:val="0"/>
          <w:numId w:val="10"/>
        </w:numPr>
        <w:rPr>
          <w:rFonts w:cs="Arial"/>
        </w:rPr>
      </w:pPr>
      <w:r w:rsidRPr="0069714B">
        <w:rPr>
          <w:rFonts w:cs="Arial"/>
          <w:b/>
        </w:rPr>
        <w:t>Scope</w:t>
      </w:r>
    </w:p>
    <w:p w14:paraId="412C2A2F" w14:textId="77777777" w:rsidR="0069714B" w:rsidRPr="0069714B" w:rsidRDefault="0069714B" w:rsidP="0069714B">
      <w:pPr>
        <w:pStyle w:val="ListParagraph"/>
        <w:rPr>
          <w:rFonts w:cs="Arial"/>
        </w:rPr>
      </w:pPr>
    </w:p>
    <w:p w14:paraId="565B13CE" w14:textId="77777777" w:rsidR="00C92844" w:rsidRDefault="006138A9" w:rsidP="0069714B">
      <w:pPr>
        <w:pStyle w:val="ListParagraph"/>
        <w:numPr>
          <w:ilvl w:val="1"/>
          <w:numId w:val="10"/>
        </w:numPr>
        <w:rPr>
          <w:rFonts w:cs="Arial"/>
        </w:rPr>
      </w:pPr>
      <w:r w:rsidRPr="0069714B">
        <w:rPr>
          <w:rFonts w:cs="Arial"/>
        </w:rPr>
        <w:t>Th</w:t>
      </w:r>
      <w:r w:rsidR="0011711F" w:rsidRPr="0069714B">
        <w:rPr>
          <w:rFonts w:cs="Arial"/>
        </w:rPr>
        <w:t>e arrangements would apply to all VR</w:t>
      </w:r>
      <w:r w:rsidR="00850F01">
        <w:rPr>
          <w:rFonts w:cs="Arial"/>
        </w:rPr>
        <w:t>/V</w:t>
      </w:r>
      <w:r w:rsidR="005035C5">
        <w:rPr>
          <w:rFonts w:cs="Arial"/>
        </w:rPr>
        <w:t>S</w:t>
      </w:r>
      <w:r w:rsidR="0011711F" w:rsidRPr="0069714B">
        <w:rPr>
          <w:rFonts w:cs="Arial"/>
        </w:rPr>
        <w:t xml:space="preserve"> e</w:t>
      </w:r>
      <w:r w:rsidRPr="0069714B">
        <w:rPr>
          <w:rFonts w:cs="Arial"/>
        </w:rPr>
        <w:t>xits made</w:t>
      </w:r>
      <w:r w:rsidR="000332C4">
        <w:rPr>
          <w:rFonts w:cs="Arial"/>
        </w:rPr>
        <w:t xml:space="preserve"> under the scheme </w:t>
      </w:r>
      <w:r w:rsidRPr="0069714B">
        <w:rPr>
          <w:rFonts w:cs="Arial"/>
        </w:rPr>
        <w:t>by HMPPS (NPS)</w:t>
      </w:r>
      <w:r w:rsidR="00C53B99" w:rsidRPr="0069714B">
        <w:rPr>
          <w:rFonts w:cs="Arial"/>
        </w:rPr>
        <w:t xml:space="preserve"> for</w:t>
      </w:r>
      <w:r w:rsidR="00C72CA4">
        <w:rPr>
          <w:rFonts w:cs="Arial"/>
        </w:rPr>
        <w:t xml:space="preserve"> </w:t>
      </w:r>
      <w:r w:rsidR="00C92844">
        <w:rPr>
          <w:rFonts w:cs="Arial"/>
        </w:rPr>
        <w:t xml:space="preserve">the following </w:t>
      </w:r>
      <w:r w:rsidR="00C72CA4">
        <w:rPr>
          <w:rFonts w:cs="Arial"/>
        </w:rPr>
        <w:t>staff</w:t>
      </w:r>
      <w:r w:rsidR="00C92844">
        <w:rPr>
          <w:rFonts w:cs="Arial"/>
        </w:rPr>
        <w:t>:</w:t>
      </w:r>
    </w:p>
    <w:p w14:paraId="7F13B1A7" w14:textId="77777777" w:rsidR="00C92844" w:rsidRDefault="006138A9" w:rsidP="00C92844">
      <w:pPr>
        <w:pStyle w:val="ListParagraph"/>
        <w:numPr>
          <w:ilvl w:val="2"/>
          <w:numId w:val="10"/>
        </w:numPr>
        <w:rPr>
          <w:rFonts w:cs="Arial"/>
        </w:rPr>
      </w:pPr>
      <w:r w:rsidRPr="0069714B">
        <w:rPr>
          <w:rFonts w:cs="Arial"/>
        </w:rPr>
        <w:t>CRC</w:t>
      </w:r>
      <w:r w:rsidR="00D74798">
        <w:rPr>
          <w:rFonts w:cs="Arial"/>
        </w:rPr>
        <w:t xml:space="preserve"> </w:t>
      </w:r>
      <w:r w:rsidR="00C92844">
        <w:rPr>
          <w:rFonts w:cs="Arial"/>
        </w:rPr>
        <w:t xml:space="preserve">staff who transfer to </w:t>
      </w:r>
      <w:r w:rsidR="00C72CA4">
        <w:rPr>
          <w:rFonts w:cs="Arial"/>
        </w:rPr>
        <w:t>HMPPS (</w:t>
      </w:r>
      <w:r w:rsidR="00C92844">
        <w:rPr>
          <w:rFonts w:cs="Arial"/>
        </w:rPr>
        <w:t>NPS</w:t>
      </w:r>
      <w:r w:rsidR="00C72CA4">
        <w:rPr>
          <w:rFonts w:cs="Arial"/>
        </w:rPr>
        <w:t>)</w:t>
      </w:r>
      <w:r w:rsidR="00C92844">
        <w:rPr>
          <w:rFonts w:cs="Arial"/>
        </w:rPr>
        <w:t xml:space="preserve"> </w:t>
      </w:r>
    </w:p>
    <w:p w14:paraId="3193627C" w14:textId="77777777" w:rsidR="00C92844" w:rsidRDefault="00C92844" w:rsidP="00C92844">
      <w:pPr>
        <w:pStyle w:val="ListParagraph"/>
        <w:numPr>
          <w:ilvl w:val="2"/>
          <w:numId w:val="10"/>
        </w:numPr>
        <w:rPr>
          <w:rFonts w:cs="Arial"/>
        </w:rPr>
      </w:pPr>
      <w:r>
        <w:rPr>
          <w:rFonts w:cs="Arial"/>
        </w:rPr>
        <w:t>incumbent NPS staff</w:t>
      </w:r>
    </w:p>
    <w:p w14:paraId="7E35EA9D" w14:textId="77777777" w:rsidR="00D842B9" w:rsidRDefault="00C92844" w:rsidP="0043301A">
      <w:pPr>
        <w:pStyle w:val="ListParagraph"/>
        <w:numPr>
          <w:ilvl w:val="2"/>
          <w:numId w:val="10"/>
        </w:numPr>
        <w:rPr>
          <w:rFonts w:cs="Arial"/>
        </w:rPr>
      </w:pPr>
      <w:r>
        <w:rPr>
          <w:rFonts w:cs="Arial"/>
        </w:rPr>
        <w:t>CRC staff who transfer to DF providers</w:t>
      </w:r>
    </w:p>
    <w:p w14:paraId="75767262" w14:textId="77777777" w:rsidR="00C92844" w:rsidRDefault="00D842B9" w:rsidP="005035C5">
      <w:pPr>
        <w:pStyle w:val="ListParagraph"/>
        <w:numPr>
          <w:ilvl w:val="1"/>
          <w:numId w:val="10"/>
        </w:numPr>
        <w:rPr>
          <w:rFonts w:cs="Arial"/>
        </w:rPr>
      </w:pPr>
      <w:r>
        <w:rPr>
          <w:rFonts w:cs="Arial"/>
        </w:rPr>
        <w:t xml:space="preserve">The arrangements may </w:t>
      </w:r>
      <w:r w:rsidR="000667B1">
        <w:rPr>
          <w:rFonts w:cs="Arial"/>
        </w:rPr>
        <w:t xml:space="preserve">be </w:t>
      </w:r>
      <w:r>
        <w:rPr>
          <w:rFonts w:cs="Arial"/>
        </w:rPr>
        <w:t>extend</w:t>
      </w:r>
      <w:r w:rsidR="000667B1">
        <w:rPr>
          <w:rFonts w:cs="Arial"/>
        </w:rPr>
        <w:t>ed</w:t>
      </w:r>
      <w:r>
        <w:rPr>
          <w:rFonts w:cs="Arial"/>
        </w:rPr>
        <w:t xml:space="preserve"> to staff of CRC parent organisations, of CRC sub-contractors or of CRC supply chain</w:t>
      </w:r>
      <w:r w:rsidR="009A77E0">
        <w:rPr>
          <w:rFonts w:cs="Arial"/>
        </w:rPr>
        <w:t xml:space="preserve"> </w:t>
      </w:r>
      <w:r w:rsidR="000667B1">
        <w:rPr>
          <w:rFonts w:cs="Arial"/>
        </w:rPr>
        <w:t xml:space="preserve">subject to </w:t>
      </w:r>
      <w:r w:rsidR="007F08AC">
        <w:rPr>
          <w:rFonts w:cs="Arial"/>
        </w:rPr>
        <w:t>separate agreement</w:t>
      </w:r>
      <w:r w:rsidR="000332C4">
        <w:rPr>
          <w:rFonts w:cs="Arial"/>
        </w:rPr>
        <w:t xml:space="preserve"> and HMPPS’ discretion</w:t>
      </w:r>
      <w:r w:rsidR="000667B1">
        <w:rPr>
          <w:rFonts w:cs="Arial"/>
        </w:rPr>
        <w:t>.</w:t>
      </w:r>
    </w:p>
    <w:p w14:paraId="5C0F026D" w14:textId="77777777" w:rsidR="007F08AC" w:rsidRDefault="007F08AC" w:rsidP="007F08AC">
      <w:pPr>
        <w:pStyle w:val="ListParagraph"/>
        <w:ind w:left="792"/>
        <w:rPr>
          <w:rFonts w:cs="Arial"/>
        </w:rPr>
      </w:pPr>
    </w:p>
    <w:p w14:paraId="46DCEDEF" w14:textId="77777777" w:rsidR="0069714B" w:rsidRPr="0069714B" w:rsidRDefault="0011711F" w:rsidP="0011711F">
      <w:pPr>
        <w:pStyle w:val="ListParagraph"/>
        <w:numPr>
          <w:ilvl w:val="0"/>
          <w:numId w:val="10"/>
        </w:numPr>
        <w:rPr>
          <w:rFonts w:cs="Arial"/>
        </w:rPr>
      </w:pPr>
      <w:r w:rsidRPr="0069714B">
        <w:rPr>
          <w:rFonts w:cs="Arial"/>
          <w:b/>
        </w:rPr>
        <w:t>Terms</w:t>
      </w:r>
    </w:p>
    <w:p w14:paraId="24A0B79A" w14:textId="77777777" w:rsidR="00FC69F5" w:rsidRPr="0069714B" w:rsidRDefault="0069714B" w:rsidP="0069714B">
      <w:pPr>
        <w:pStyle w:val="ListParagraph"/>
        <w:numPr>
          <w:ilvl w:val="1"/>
          <w:numId w:val="10"/>
        </w:numPr>
        <w:rPr>
          <w:rFonts w:cs="Arial"/>
        </w:rPr>
      </w:pPr>
      <w:r w:rsidRPr="0069714B">
        <w:rPr>
          <w:rFonts w:cs="Arial"/>
        </w:rPr>
        <w:t xml:space="preserve">See Annex </w:t>
      </w:r>
      <w:r w:rsidR="00FA2287">
        <w:rPr>
          <w:rFonts w:cs="Arial"/>
        </w:rPr>
        <w:t xml:space="preserve">A </w:t>
      </w:r>
      <w:r w:rsidRPr="0069714B">
        <w:rPr>
          <w:rFonts w:cs="Arial"/>
        </w:rPr>
        <w:t>for</w:t>
      </w:r>
      <w:r w:rsidR="00FA2287">
        <w:rPr>
          <w:rFonts w:cs="Arial"/>
        </w:rPr>
        <w:t xml:space="preserve"> the</w:t>
      </w:r>
      <w:r w:rsidRPr="0069714B">
        <w:rPr>
          <w:rFonts w:cs="Arial"/>
        </w:rPr>
        <w:t xml:space="preserve"> terms of the scheme.</w:t>
      </w:r>
    </w:p>
    <w:p w14:paraId="44B05740" w14:textId="77777777" w:rsidR="0011711F" w:rsidRDefault="0011711F" w:rsidP="0011711F">
      <w:pPr>
        <w:rPr>
          <w:rFonts w:ascii="Arial" w:hAnsi="Arial" w:cs="Arial"/>
        </w:rPr>
      </w:pPr>
    </w:p>
    <w:p w14:paraId="3C1016F4" w14:textId="77777777" w:rsidR="0069714B" w:rsidRPr="0069714B" w:rsidRDefault="0011711F" w:rsidP="0011711F">
      <w:pPr>
        <w:pStyle w:val="ListParagraph"/>
        <w:numPr>
          <w:ilvl w:val="0"/>
          <w:numId w:val="10"/>
        </w:numPr>
        <w:rPr>
          <w:rFonts w:cs="Arial"/>
        </w:rPr>
      </w:pPr>
      <w:r w:rsidRPr="0069714B">
        <w:rPr>
          <w:rFonts w:cs="Arial"/>
          <w:b/>
        </w:rPr>
        <w:t>Duration</w:t>
      </w:r>
    </w:p>
    <w:p w14:paraId="504D6D46" w14:textId="77777777" w:rsidR="0069714B" w:rsidRDefault="0011711F" w:rsidP="0069714B">
      <w:pPr>
        <w:pStyle w:val="ListParagraph"/>
        <w:numPr>
          <w:ilvl w:val="1"/>
          <w:numId w:val="10"/>
        </w:numPr>
        <w:rPr>
          <w:rFonts w:cs="Arial"/>
        </w:rPr>
      </w:pPr>
      <w:r w:rsidRPr="0069714B">
        <w:rPr>
          <w:rFonts w:cs="Arial"/>
        </w:rPr>
        <w:t>The VR</w:t>
      </w:r>
      <w:r w:rsidR="006D3ADA">
        <w:rPr>
          <w:rFonts w:cs="Arial"/>
        </w:rPr>
        <w:t>/</w:t>
      </w:r>
      <w:r w:rsidR="009215B2">
        <w:rPr>
          <w:rFonts w:cs="Arial"/>
        </w:rPr>
        <w:t>V</w:t>
      </w:r>
      <w:r w:rsidR="005035C5">
        <w:rPr>
          <w:rFonts w:cs="Arial"/>
        </w:rPr>
        <w:t>S</w:t>
      </w:r>
      <w:r w:rsidRPr="0069714B">
        <w:rPr>
          <w:rFonts w:cs="Arial"/>
        </w:rPr>
        <w:t xml:space="preserve"> </w:t>
      </w:r>
      <w:r w:rsidR="0069714B" w:rsidRPr="0069714B">
        <w:rPr>
          <w:rFonts w:cs="Arial"/>
        </w:rPr>
        <w:t>scheme w</w:t>
      </w:r>
      <w:r w:rsidRPr="0069714B">
        <w:rPr>
          <w:rFonts w:cs="Arial"/>
        </w:rPr>
        <w:t>ould apply for two ye</w:t>
      </w:r>
      <w:r w:rsidR="001F3F15" w:rsidRPr="0069714B">
        <w:rPr>
          <w:rFonts w:cs="Arial"/>
        </w:rPr>
        <w:t>ars</w:t>
      </w:r>
      <w:r w:rsidR="005F1700">
        <w:rPr>
          <w:rFonts w:cs="Arial"/>
        </w:rPr>
        <w:t xml:space="preserve"> from </w:t>
      </w:r>
      <w:r w:rsidR="000332C4">
        <w:rPr>
          <w:rFonts w:cs="Arial"/>
        </w:rPr>
        <w:t>25</w:t>
      </w:r>
      <w:r w:rsidR="000332C4" w:rsidRPr="000332C4">
        <w:rPr>
          <w:rFonts w:cs="Arial"/>
          <w:vertAlign w:val="superscript"/>
        </w:rPr>
        <w:t>th</w:t>
      </w:r>
      <w:r w:rsidR="000332C4">
        <w:rPr>
          <w:rFonts w:cs="Arial"/>
        </w:rPr>
        <w:t xml:space="preserve"> June 2021.  </w:t>
      </w:r>
    </w:p>
    <w:p w14:paraId="45660014" w14:textId="77777777" w:rsidR="0011711F" w:rsidRPr="0069714B" w:rsidRDefault="0011711F" w:rsidP="0069714B">
      <w:pPr>
        <w:pStyle w:val="ListParagraph"/>
        <w:numPr>
          <w:ilvl w:val="1"/>
          <w:numId w:val="10"/>
        </w:numPr>
        <w:rPr>
          <w:rFonts w:cs="Arial"/>
        </w:rPr>
      </w:pPr>
      <w:r w:rsidRPr="0069714B">
        <w:rPr>
          <w:rFonts w:cs="Arial"/>
        </w:rPr>
        <w:t xml:space="preserve">During this time </w:t>
      </w:r>
      <w:r w:rsidR="00996678">
        <w:rPr>
          <w:rFonts w:cs="Arial"/>
        </w:rPr>
        <w:t xml:space="preserve">all </w:t>
      </w:r>
      <w:r w:rsidRPr="0069714B">
        <w:rPr>
          <w:rFonts w:cs="Arial"/>
        </w:rPr>
        <w:t>VR</w:t>
      </w:r>
      <w:r w:rsidR="006D3ADA">
        <w:rPr>
          <w:rFonts w:cs="Arial"/>
        </w:rPr>
        <w:t>/V</w:t>
      </w:r>
      <w:r w:rsidR="005035C5">
        <w:rPr>
          <w:rFonts w:cs="Arial"/>
        </w:rPr>
        <w:t>S</w:t>
      </w:r>
      <w:r w:rsidRPr="0069714B">
        <w:rPr>
          <w:rFonts w:cs="Arial"/>
        </w:rPr>
        <w:t xml:space="preserve"> exits would be made on the enhanced terms</w:t>
      </w:r>
      <w:r w:rsidR="00996678">
        <w:rPr>
          <w:rFonts w:cs="Arial"/>
        </w:rPr>
        <w:t xml:space="preserve"> set out in this agreement</w:t>
      </w:r>
      <w:r w:rsidRPr="0069714B">
        <w:rPr>
          <w:rFonts w:cs="Arial"/>
        </w:rPr>
        <w:t xml:space="preserve">.  </w:t>
      </w:r>
    </w:p>
    <w:p w14:paraId="751DDD73" w14:textId="77777777" w:rsidR="0011711F" w:rsidRDefault="0011711F" w:rsidP="0011711F">
      <w:pPr>
        <w:rPr>
          <w:rFonts w:ascii="Arial" w:hAnsi="Arial" w:cs="Arial"/>
        </w:rPr>
      </w:pPr>
    </w:p>
    <w:p w14:paraId="15C56AFC" w14:textId="77777777" w:rsidR="0011711F" w:rsidRPr="00EC1330" w:rsidRDefault="00EC1330" w:rsidP="00572F3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138A9" w:rsidRPr="00EC1330">
        <w:rPr>
          <w:rFonts w:ascii="Arial" w:hAnsi="Arial" w:cs="Arial"/>
          <w:b/>
          <w:sz w:val="24"/>
          <w:szCs w:val="24"/>
        </w:rPr>
        <w:lastRenderedPageBreak/>
        <w:t>Annex A</w:t>
      </w:r>
    </w:p>
    <w:p w14:paraId="51A5EFBB" w14:textId="77777777" w:rsidR="006138A9" w:rsidRPr="00EC1330" w:rsidRDefault="006138A9" w:rsidP="00EC13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C1330">
        <w:rPr>
          <w:rFonts w:ascii="Arial" w:eastAsia="Calibri" w:hAnsi="Arial" w:cs="Arial"/>
          <w:b/>
          <w:sz w:val="24"/>
          <w:szCs w:val="24"/>
        </w:rPr>
        <w:t xml:space="preserve">PROBATION REFORM PROGRAMME:  </w:t>
      </w:r>
      <w:r w:rsidR="00C53B99" w:rsidRPr="00EC1330">
        <w:rPr>
          <w:rFonts w:ascii="Arial" w:eastAsia="Calibri" w:hAnsi="Arial" w:cs="Arial"/>
          <w:b/>
          <w:sz w:val="24"/>
          <w:szCs w:val="24"/>
        </w:rPr>
        <w:t>V</w:t>
      </w:r>
      <w:r w:rsidRPr="00EC1330">
        <w:rPr>
          <w:rFonts w:ascii="Arial" w:eastAsia="Calibri" w:hAnsi="Arial" w:cs="Arial"/>
          <w:b/>
          <w:sz w:val="24"/>
          <w:szCs w:val="24"/>
        </w:rPr>
        <w:t>OLUNTARY REDUNDANCY SCHEME</w:t>
      </w:r>
    </w:p>
    <w:p w14:paraId="65EABCE3" w14:textId="77777777" w:rsidR="006138A9" w:rsidRPr="00EC1330" w:rsidRDefault="006138A9" w:rsidP="007F08A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C1330">
        <w:rPr>
          <w:rFonts w:ascii="Arial" w:eastAsia="Calibri" w:hAnsi="Arial" w:cs="Arial"/>
          <w:b/>
        </w:rPr>
        <w:br/>
      </w:r>
    </w:p>
    <w:p w14:paraId="795D3624" w14:textId="77777777" w:rsidR="00EC1330" w:rsidRDefault="006138A9" w:rsidP="007F08AC">
      <w:pPr>
        <w:pStyle w:val="ListParagraph"/>
        <w:numPr>
          <w:ilvl w:val="0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 w:rsidRPr="00EC1330">
        <w:rPr>
          <w:rFonts w:eastAsia="Calibri" w:cs="Arial"/>
          <w:szCs w:val="22"/>
        </w:rPr>
        <w:t xml:space="preserve">This Scheme will apply to </w:t>
      </w:r>
      <w:r w:rsidR="00CA1BB3" w:rsidRPr="00EC1330">
        <w:rPr>
          <w:rFonts w:eastAsia="Calibri" w:cs="Arial"/>
          <w:szCs w:val="22"/>
        </w:rPr>
        <w:t>voluntary redundancy</w:t>
      </w:r>
      <w:r w:rsidR="005D7EFA">
        <w:rPr>
          <w:rFonts w:eastAsia="Calibri" w:cs="Arial"/>
          <w:szCs w:val="22"/>
        </w:rPr>
        <w:t xml:space="preserve"> (VR </w:t>
      </w:r>
      <w:r w:rsidR="004D0AD3">
        <w:rPr>
          <w:rFonts w:eastAsia="Calibri" w:cs="Arial"/>
          <w:szCs w:val="22"/>
        </w:rPr>
        <w:t>/</w:t>
      </w:r>
      <w:r w:rsidR="005D7EFA">
        <w:rPr>
          <w:rFonts w:eastAsia="Calibri" w:cs="Arial"/>
          <w:szCs w:val="22"/>
        </w:rPr>
        <w:t xml:space="preserve"> </w:t>
      </w:r>
      <w:r w:rsidR="004D0AD3">
        <w:rPr>
          <w:rFonts w:eastAsia="Calibri" w:cs="Arial"/>
          <w:szCs w:val="22"/>
        </w:rPr>
        <w:t xml:space="preserve">voluntary </w:t>
      </w:r>
      <w:r w:rsidR="005035C5">
        <w:rPr>
          <w:rFonts w:eastAsia="Calibri" w:cs="Arial"/>
          <w:szCs w:val="22"/>
        </w:rPr>
        <w:t>severance</w:t>
      </w:r>
      <w:r w:rsidR="005D7EFA">
        <w:rPr>
          <w:rFonts w:eastAsia="Calibri" w:cs="Arial"/>
          <w:szCs w:val="22"/>
        </w:rPr>
        <w:t xml:space="preserve"> (</w:t>
      </w:r>
      <w:proofErr w:type="gramStart"/>
      <w:r w:rsidR="005D7EFA">
        <w:rPr>
          <w:rFonts w:eastAsia="Calibri" w:cs="Arial"/>
          <w:szCs w:val="22"/>
        </w:rPr>
        <w:t>VS)</w:t>
      </w:r>
      <w:r w:rsidR="005035C5">
        <w:rPr>
          <w:rFonts w:eastAsia="Calibri" w:cs="Arial"/>
          <w:szCs w:val="22"/>
        </w:rPr>
        <w:t xml:space="preserve"> </w:t>
      </w:r>
      <w:r w:rsidR="00CA1BB3" w:rsidRPr="00EC1330">
        <w:rPr>
          <w:rFonts w:eastAsia="Calibri" w:cs="Arial"/>
          <w:szCs w:val="22"/>
        </w:rPr>
        <w:t xml:space="preserve"> exits</w:t>
      </w:r>
      <w:proofErr w:type="gramEnd"/>
      <w:r w:rsidR="00CA1BB3" w:rsidRPr="00EC1330">
        <w:rPr>
          <w:rFonts w:eastAsia="Calibri" w:cs="Arial"/>
          <w:szCs w:val="22"/>
        </w:rPr>
        <w:t xml:space="preserve"> made by the NPS</w:t>
      </w:r>
      <w:r w:rsidR="0069714B" w:rsidRPr="00EC1330">
        <w:rPr>
          <w:rFonts w:eastAsia="Calibri" w:cs="Arial"/>
          <w:szCs w:val="22"/>
        </w:rPr>
        <w:t xml:space="preserve"> (and DF providers in respect of any CRC staff that transfer to them) </w:t>
      </w:r>
      <w:r w:rsidR="00CA1BB3" w:rsidRPr="00EC1330">
        <w:rPr>
          <w:rFonts w:eastAsia="Calibri" w:cs="Arial"/>
          <w:szCs w:val="22"/>
        </w:rPr>
        <w:t xml:space="preserve">as part of the transition to the Unified Model in 2021.  </w:t>
      </w:r>
    </w:p>
    <w:p w14:paraId="07F2EF94" w14:textId="77777777" w:rsidR="0069714B" w:rsidRPr="00EC1330" w:rsidRDefault="006138A9" w:rsidP="007F08AC">
      <w:pPr>
        <w:pStyle w:val="ListParagraph"/>
        <w:tabs>
          <w:tab w:val="left" w:pos="0"/>
          <w:tab w:val="left" w:pos="1276"/>
        </w:tabs>
        <w:spacing w:line="240" w:lineRule="auto"/>
        <w:ind w:left="360"/>
        <w:rPr>
          <w:rFonts w:eastAsia="Calibri" w:cs="Arial"/>
          <w:szCs w:val="22"/>
        </w:rPr>
      </w:pPr>
      <w:r w:rsidRPr="00EC1330">
        <w:rPr>
          <w:rFonts w:eastAsia="Calibri" w:cs="Arial"/>
          <w:szCs w:val="22"/>
        </w:rPr>
        <w:t xml:space="preserve">  </w:t>
      </w:r>
    </w:p>
    <w:p w14:paraId="0DDDB4D8" w14:textId="77777777" w:rsidR="007F08AC" w:rsidRDefault="0069714B" w:rsidP="007F08AC">
      <w:pPr>
        <w:pStyle w:val="ListParagraph"/>
        <w:numPr>
          <w:ilvl w:val="0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 w:rsidRPr="00EC1330">
        <w:rPr>
          <w:rFonts w:eastAsia="Calibri" w:cs="Arial"/>
          <w:szCs w:val="22"/>
        </w:rPr>
        <w:t xml:space="preserve">The Scheme will be in place for two years, starting </w:t>
      </w:r>
      <w:r w:rsidR="000332C4">
        <w:rPr>
          <w:rFonts w:eastAsia="Calibri" w:cs="Arial"/>
          <w:szCs w:val="22"/>
        </w:rPr>
        <w:t>25</w:t>
      </w:r>
      <w:r w:rsidR="000332C4" w:rsidRPr="000332C4">
        <w:rPr>
          <w:rFonts w:eastAsia="Calibri" w:cs="Arial"/>
          <w:szCs w:val="22"/>
          <w:vertAlign w:val="superscript"/>
        </w:rPr>
        <w:t>th</w:t>
      </w:r>
      <w:r w:rsidR="000332C4">
        <w:rPr>
          <w:rFonts w:eastAsia="Calibri" w:cs="Arial"/>
          <w:szCs w:val="22"/>
        </w:rPr>
        <w:t xml:space="preserve"> June 2021</w:t>
      </w:r>
      <w:r w:rsidRPr="00EC1330">
        <w:rPr>
          <w:rFonts w:eastAsia="Calibri" w:cs="Arial"/>
          <w:szCs w:val="22"/>
        </w:rPr>
        <w:t xml:space="preserve"> and will apply to employees who </w:t>
      </w:r>
      <w:r w:rsidR="005035C5">
        <w:rPr>
          <w:rFonts w:eastAsia="Calibri" w:cs="Arial"/>
          <w:szCs w:val="22"/>
        </w:rPr>
        <w:t xml:space="preserve">were CRC staff and who transferred under the June 2021 transfers and who </w:t>
      </w:r>
      <w:r w:rsidRPr="00EC1330">
        <w:rPr>
          <w:rFonts w:eastAsia="Calibri" w:cs="Arial"/>
          <w:szCs w:val="22"/>
        </w:rPr>
        <w:t>leave NPS</w:t>
      </w:r>
      <w:r w:rsidR="0098480E">
        <w:rPr>
          <w:rFonts w:eastAsia="Calibri" w:cs="Arial"/>
          <w:szCs w:val="22"/>
        </w:rPr>
        <w:t>/DF</w:t>
      </w:r>
      <w:r w:rsidRPr="00EC1330">
        <w:rPr>
          <w:rFonts w:eastAsia="Calibri" w:cs="Arial"/>
          <w:szCs w:val="22"/>
        </w:rPr>
        <w:t xml:space="preserve"> employment before</w:t>
      </w:r>
      <w:r w:rsidR="000332C4">
        <w:rPr>
          <w:rFonts w:eastAsia="Calibri" w:cs="Arial"/>
          <w:szCs w:val="22"/>
        </w:rPr>
        <w:t xml:space="preserve"> 25</w:t>
      </w:r>
      <w:r w:rsidR="000332C4" w:rsidRPr="000332C4">
        <w:rPr>
          <w:rFonts w:eastAsia="Calibri" w:cs="Arial"/>
          <w:szCs w:val="22"/>
          <w:vertAlign w:val="superscript"/>
        </w:rPr>
        <w:t>th</w:t>
      </w:r>
      <w:r w:rsidR="000332C4">
        <w:rPr>
          <w:rFonts w:eastAsia="Calibri" w:cs="Arial"/>
          <w:szCs w:val="22"/>
        </w:rPr>
        <w:t xml:space="preserve"> June 2023</w:t>
      </w:r>
      <w:r w:rsidRPr="00EC1330">
        <w:rPr>
          <w:rFonts w:eastAsia="Calibri" w:cs="Arial"/>
          <w:szCs w:val="22"/>
        </w:rPr>
        <w:t xml:space="preserve">. </w:t>
      </w:r>
    </w:p>
    <w:p w14:paraId="0D6F7F2A" w14:textId="77777777" w:rsidR="0069714B" w:rsidRPr="007F08AC" w:rsidRDefault="0069714B" w:rsidP="007F08AC">
      <w:pPr>
        <w:tabs>
          <w:tab w:val="left" w:pos="0"/>
          <w:tab w:val="left" w:pos="1276"/>
        </w:tabs>
        <w:spacing w:after="0" w:line="240" w:lineRule="auto"/>
        <w:rPr>
          <w:rFonts w:eastAsia="Calibri" w:cs="Arial"/>
        </w:rPr>
      </w:pPr>
      <w:r w:rsidRPr="007F08AC">
        <w:rPr>
          <w:rFonts w:eastAsia="Calibri" w:cs="Arial"/>
        </w:rPr>
        <w:t xml:space="preserve"> </w:t>
      </w:r>
    </w:p>
    <w:p w14:paraId="096E26AF" w14:textId="77777777" w:rsidR="00C83167" w:rsidRPr="00C83167" w:rsidRDefault="000A6D6E" w:rsidP="007F08AC">
      <w:pPr>
        <w:pStyle w:val="ListParagraph"/>
        <w:numPr>
          <w:ilvl w:val="0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</w:rPr>
      </w:pPr>
      <w:r w:rsidRPr="00EC1330">
        <w:rPr>
          <w:rFonts w:eastAsia="Calibri" w:cs="Arial"/>
          <w:szCs w:val="22"/>
        </w:rPr>
        <w:t>The provisions will apply in all cases of VR</w:t>
      </w:r>
      <w:r w:rsidR="00825F5D">
        <w:rPr>
          <w:rFonts w:eastAsia="Calibri" w:cs="Arial"/>
          <w:szCs w:val="22"/>
        </w:rPr>
        <w:t>/</w:t>
      </w:r>
      <w:r w:rsidR="005D7EFA">
        <w:rPr>
          <w:rFonts w:eastAsia="Calibri" w:cs="Arial"/>
          <w:szCs w:val="22"/>
        </w:rPr>
        <w:t xml:space="preserve"> VS</w:t>
      </w:r>
      <w:r w:rsidRPr="00EC1330">
        <w:rPr>
          <w:rFonts w:eastAsia="Calibri" w:cs="Arial"/>
          <w:szCs w:val="22"/>
        </w:rPr>
        <w:t xml:space="preserve"> arising as a direct consequence of the P</w:t>
      </w:r>
      <w:r w:rsidR="0069714B" w:rsidRPr="00EC1330">
        <w:rPr>
          <w:rFonts w:eastAsia="Calibri" w:cs="Arial"/>
          <w:szCs w:val="22"/>
        </w:rPr>
        <w:t xml:space="preserve">robation </w:t>
      </w:r>
      <w:r w:rsidRPr="00EC1330">
        <w:rPr>
          <w:rFonts w:eastAsia="Calibri" w:cs="Arial"/>
          <w:szCs w:val="22"/>
        </w:rPr>
        <w:t>R</w:t>
      </w:r>
      <w:r w:rsidR="0069714B" w:rsidRPr="00EC1330">
        <w:rPr>
          <w:rFonts w:eastAsia="Calibri" w:cs="Arial"/>
          <w:szCs w:val="22"/>
        </w:rPr>
        <w:t xml:space="preserve">eform </w:t>
      </w:r>
      <w:r w:rsidRPr="00EC1330">
        <w:rPr>
          <w:rFonts w:eastAsia="Calibri" w:cs="Arial"/>
          <w:szCs w:val="22"/>
        </w:rPr>
        <w:t>P</w:t>
      </w:r>
      <w:r w:rsidR="0069714B" w:rsidRPr="00EC1330">
        <w:rPr>
          <w:rFonts w:eastAsia="Calibri" w:cs="Arial"/>
          <w:szCs w:val="22"/>
        </w:rPr>
        <w:t>rogramme</w:t>
      </w:r>
      <w:r w:rsidRPr="00EC1330">
        <w:rPr>
          <w:rFonts w:eastAsia="Calibri" w:cs="Arial"/>
          <w:szCs w:val="22"/>
        </w:rPr>
        <w:t xml:space="preserve"> and will remain in operation till </w:t>
      </w:r>
      <w:r w:rsidR="000332C4">
        <w:rPr>
          <w:rFonts w:eastAsia="Calibri" w:cs="Arial"/>
          <w:szCs w:val="22"/>
        </w:rPr>
        <w:t>25</w:t>
      </w:r>
      <w:r w:rsidR="000332C4" w:rsidRPr="000332C4">
        <w:rPr>
          <w:rFonts w:eastAsia="Calibri" w:cs="Arial"/>
          <w:szCs w:val="22"/>
          <w:vertAlign w:val="superscript"/>
        </w:rPr>
        <w:t>th</w:t>
      </w:r>
      <w:r w:rsidR="000332C4">
        <w:rPr>
          <w:rFonts w:eastAsia="Calibri" w:cs="Arial"/>
          <w:szCs w:val="22"/>
        </w:rPr>
        <w:t xml:space="preserve"> June 2023</w:t>
      </w:r>
      <w:r w:rsidR="00A91668">
        <w:rPr>
          <w:rFonts w:eastAsia="Calibri" w:cs="Arial"/>
          <w:szCs w:val="22"/>
        </w:rPr>
        <w:t>.</w:t>
      </w:r>
    </w:p>
    <w:p w14:paraId="61CEB26E" w14:textId="77777777" w:rsidR="00EC1330" w:rsidRPr="00C83167" w:rsidRDefault="00C83167" w:rsidP="007F08AC">
      <w:pPr>
        <w:tabs>
          <w:tab w:val="left" w:pos="0"/>
          <w:tab w:val="left" w:pos="1276"/>
        </w:tabs>
        <w:spacing w:after="0" w:line="240" w:lineRule="auto"/>
        <w:rPr>
          <w:rFonts w:eastAsia="Calibri" w:cs="Arial"/>
        </w:rPr>
      </w:pPr>
      <w:r w:rsidRPr="00C83167">
        <w:rPr>
          <w:rFonts w:eastAsia="Calibri" w:cs="Arial"/>
        </w:rPr>
        <w:t xml:space="preserve"> </w:t>
      </w:r>
    </w:p>
    <w:p w14:paraId="51A02244" w14:textId="77777777" w:rsidR="00EC1330" w:rsidRDefault="006138A9" w:rsidP="007F08AC">
      <w:pPr>
        <w:pStyle w:val="ListParagraph"/>
        <w:numPr>
          <w:ilvl w:val="0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 w:rsidRPr="00EC1330">
        <w:rPr>
          <w:rFonts w:eastAsia="Calibri" w:cs="Arial"/>
          <w:szCs w:val="22"/>
        </w:rPr>
        <w:t>The decision in respect of individual applications on whether to award voluntary redundancy</w:t>
      </w:r>
      <w:r w:rsidR="00825F5D">
        <w:rPr>
          <w:rFonts w:eastAsia="Calibri" w:cs="Arial"/>
          <w:szCs w:val="22"/>
        </w:rPr>
        <w:t xml:space="preserve">/voluntary </w:t>
      </w:r>
      <w:proofErr w:type="spellStart"/>
      <w:r w:rsidR="0098480E">
        <w:rPr>
          <w:rFonts w:eastAsia="Calibri" w:cs="Arial"/>
          <w:szCs w:val="22"/>
        </w:rPr>
        <w:t>severence</w:t>
      </w:r>
      <w:proofErr w:type="spellEnd"/>
      <w:r w:rsidRPr="00EC1330">
        <w:rPr>
          <w:rFonts w:eastAsia="Calibri" w:cs="Arial"/>
          <w:szCs w:val="22"/>
        </w:rPr>
        <w:t xml:space="preserve"> is at </w:t>
      </w:r>
      <w:r w:rsidR="009A77E0">
        <w:rPr>
          <w:rFonts w:eastAsia="Calibri" w:cs="Arial"/>
          <w:szCs w:val="22"/>
        </w:rPr>
        <w:t xml:space="preserve">HMPPS (NPS) </w:t>
      </w:r>
      <w:r w:rsidRPr="00EC1330">
        <w:rPr>
          <w:rFonts w:eastAsia="Calibri" w:cs="Arial"/>
          <w:szCs w:val="22"/>
        </w:rPr>
        <w:t>discretion and will include consideration of, amongst other things, the exigencies of the service, organisati</w:t>
      </w:r>
      <w:r w:rsidR="00EC1330">
        <w:rPr>
          <w:rFonts w:eastAsia="Calibri" w:cs="Arial"/>
          <w:szCs w:val="22"/>
        </w:rPr>
        <w:t>onal issues and business needs.</w:t>
      </w:r>
    </w:p>
    <w:p w14:paraId="074F71A9" w14:textId="77777777" w:rsidR="00C41885" w:rsidRPr="00C41885" w:rsidRDefault="00C41885" w:rsidP="007F08AC">
      <w:pPr>
        <w:pStyle w:val="ListParagraph"/>
        <w:spacing w:line="240" w:lineRule="auto"/>
        <w:rPr>
          <w:rFonts w:eastAsia="Calibri" w:cs="Arial"/>
          <w:szCs w:val="22"/>
        </w:rPr>
      </w:pPr>
    </w:p>
    <w:p w14:paraId="0DC8038A" w14:textId="77777777" w:rsidR="00C41885" w:rsidRPr="001620EE" w:rsidRDefault="00C41885" w:rsidP="007F08AC">
      <w:pPr>
        <w:pStyle w:val="ListParagraph"/>
        <w:numPr>
          <w:ilvl w:val="0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 w:rsidRPr="001620EE">
        <w:rPr>
          <w:rFonts w:eastAsia="Calibri" w:cs="Arial"/>
          <w:szCs w:val="22"/>
        </w:rPr>
        <w:t>Exit payments will be made in accordance with all statutory provisions in place at their date of payment.</w:t>
      </w:r>
    </w:p>
    <w:p w14:paraId="4D3C7FE0" w14:textId="77777777" w:rsidR="00EC1330" w:rsidRPr="00EC1330" w:rsidRDefault="00EC1330" w:rsidP="007F08AC">
      <w:pPr>
        <w:pStyle w:val="ListParagraph"/>
        <w:tabs>
          <w:tab w:val="left" w:pos="0"/>
          <w:tab w:val="left" w:pos="1276"/>
        </w:tabs>
        <w:spacing w:line="240" w:lineRule="auto"/>
        <w:ind w:left="1080"/>
        <w:rPr>
          <w:rFonts w:eastAsia="Calibri" w:cs="Arial"/>
          <w:szCs w:val="22"/>
        </w:rPr>
      </w:pPr>
    </w:p>
    <w:p w14:paraId="25029DCD" w14:textId="77777777" w:rsidR="007F08AC" w:rsidRPr="007F08AC" w:rsidRDefault="006138A9" w:rsidP="007F08AC">
      <w:pPr>
        <w:pStyle w:val="ListParagraph"/>
        <w:numPr>
          <w:ilvl w:val="0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 w:rsidRPr="00EC1330">
        <w:rPr>
          <w:rFonts w:eastAsia="Calibri" w:cs="Arial"/>
          <w:b/>
          <w:szCs w:val="22"/>
        </w:rPr>
        <w:t>Calculation of Redundancy Payme</w:t>
      </w:r>
      <w:r w:rsidR="0069714B" w:rsidRPr="00EC1330">
        <w:rPr>
          <w:rFonts w:eastAsia="Calibri" w:cs="Arial"/>
          <w:b/>
          <w:szCs w:val="22"/>
        </w:rPr>
        <w:t>nts for Staff</w:t>
      </w:r>
    </w:p>
    <w:p w14:paraId="706C8AC0" w14:textId="77777777" w:rsidR="007F08AC" w:rsidRDefault="007F08AC" w:rsidP="007F08AC">
      <w:pPr>
        <w:tabs>
          <w:tab w:val="left" w:pos="0"/>
          <w:tab w:val="left" w:pos="1276"/>
        </w:tabs>
        <w:spacing w:after="0" w:line="240" w:lineRule="auto"/>
        <w:rPr>
          <w:rFonts w:eastAsia="Calibri" w:cs="Arial"/>
        </w:rPr>
      </w:pPr>
    </w:p>
    <w:p w14:paraId="0F13DA52" w14:textId="77777777" w:rsidR="007F08AC" w:rsidRDefault="007F08AC" w:rsidP="007F08AC">
      <w:pPr>
        <w:tabs>
          <w:tab w:val="left" w:pos="0"/>
          <w:tab w:val="left" w:pos="127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F08AC">
        <w:rPr>
          <w:rFonts w:ascii="Arial" w:eastAsia="Calibri" w:hAnsi="Arial" w:cs="Arial"/>
          <w:sz w:val="24"/>
          <w:szCs w:val="24"/>
        </w:rPr>
        <w:t xml:space="preserve">For the </w:t>
      </w:r>
      <w:proofErr w:type="spellStart"/>
      <w:r w:rsidRPr="007F08AC">
        <w:rPr>
          <w:rFonts w:ascii="Arial" w:eastAsia="Calibri" w:hAnsi="Arial" w:cs="Arial"/>
          <w:sz w:val="24"/>
          <w:szCs w:val="24"/>
        </w:rPr>
        <w:t>the</w:t>
      </w:r>
      <w:proofErr w:type="spellEnd"/>
      <w:r w:rsidRPr="007F08AC">
        <w:rPr>
          <w:rFonts w:ascii="Arial" w:eastAsia="Calibri" w:hAnsi="Arial" w:cs="Arial"/>
          <w:sz w:val="24"/>
          <w:szCs w:val="24"/>
        </w:rPr>
        <w:t xml:space="preserve"> purposes of establishing entitlement to, and the calculation of, a voluntary redundancy/voluntary severance payment, the following will apply:</w:t>
      </w:r>
    </w:p>
    <w:p w14:paraId="07AB24EE" w14:textId="77777777" w:rsidR="007F08AC" w:rsidRPr="007F08AC" w:rsidRDefault="007F08AC" w:rsidP="007F08AC">
      <w:pPr>
        <w:tabs>
          <w:tab w:val="left" w:pos="0"/>
          <w:tab w:val="left" w:pos="127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BB46739" w14:textId="77777777" w:rsidR="007F08AC" w:rsidRPr="007F08AC" w:rsidRDefault="00EC1330" w:rsidP="007F08AC">
      <w:pPr>
        <w:pStyle w:val="ListParagraph"/>
        <w:numPr>
          <w:ilvl w:val="1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 w:rsidRPr="007F08AC">
        <w:rPr>
          <w:rFonts w:eastAsia="Calibri" w:cs="Arial"/>
          <w:b/>
          <w:bCs/>
          <w:szCs w:val="22"/>
        </w:rPr>
        <w:t>F</w:t>
      </w:r>
      <w:r w:rsidR="00FE05F2" w:rsidRPr="007F08AC">
        <w:rPr>
          <w:rFonts w:eastAsia="Calibri" w:cs="Arial"/>
          <w:b/>
          <w:bCs/>
          <w:szCs w:val="22"/>
        </w:rPr>
        <w:t>or f</w:t>
      </w:r>
      <w:r w:rsidR="007242DE" w:rsidRPr="007F08AC">
        <w:rPr>
          <w:rFonts w:eastAsia="Calibri" w:cs="Arial"/>
          <w:b/>
          <w:bCs/>
          <w:szCs w:val="22"/>
        </w:rPr>
        <w:t>ormer probation trust</w:t>
      </w:r>
      <w:r w:rsidR="00FE05F2" w:rsidRPr="007F08AC">
        <w:rPr>
          <w:rFonts w:eastAsia="Calibri" w:cs="Arial"/>
          <w:b/>
          <w:bCs/>
          <w:szCs w:val="22"/>
        </w:rPr>
        <w:t xml:space="preserve"> employees their </w:t>
      </w:r>
      <w:r w:rsidR="004A68C8" w:rsidRPr="007F08AC">
        <w:rPr>
          <w:rFonts w:eastAsia="Calibri" w:cs="Arial"/>
          <w:b/>
          <w:bCs/>
          <w:szCs w:val="22"/>
        </w:rPr>
        <w:t xml:space="preserve">continuous service </w:t>
      </w:r>
      <w:r w:rsidR="00A162F9" w:rsidRPr="007F08AC">
        <w:rPr>
          <w:rFonts w:eastAsia="Calibri" w:cs="Arial"/>
          <w:b/>
          <w:bCs/>
          <w:szCs w:val="22"/>
        </w:rPr>
        <w:t>for voluntary redundancy</w:t>
      </w:r>
      <w:r w:rsidR="00EA0424" w:rsidRPr="007F08AC">
        <w:rPr>
          <w:rFonts w:eastAsia="Calibri" w:cs="Arial"/>
          <w:b/>
          <w:bCs/>
          <w:szCs w:val="22"/>
        </w:rPr>
        <w:t>/</w:t>
      </w:r>
      <w:r w:rsidR="0098480E" w:rsidRPr="007F08AC">
        <w:rPr>
          <w:rFonts w:eastAsia="Calibri" w:cs="Arial"/>
          <w:b/>
          <w:bCs/>
          <w:szCs w:val="22"/>
        </w:rPr>
        <w:t xml:space="preserve">voluntary </w:t>
      </w:r>
      <w:proofErr w:type="spellStart"/>
      <w:r w:rsidR="0098480E" w:rsidRPr="007F08AC">
        <w:rPr>
          <w:rFonts w:eastAsia="Calibri" w:cs="Arial"/>
          <w:b/>
          <w:bCs/>
          <w:szCs w:val="22"/>
        </w:rPr>
        <w:t>severence</w:t>
      </w:r>
      <w:proofErr w:type="spellEnd"/>
      <w:r w:rsidR="00A162F9" w:rsidRPr="007F08AC">
        <w:rPr>
          <w:rFonts w:eastAsia="Calibri" w:cs="Arial"/>
          <w:b/>
          <w:bCs/>
          <w:szCs w:val="22"/>
        </w:rPr>
        <w:t xml:space="preserve"> purposes shall</w:t>
      </w:r>
      <w:r w:rsidR="004A68C8" w:rsidRPr="007F08AC">
        <w:rPr>
          <w:rFonts w:eastAsia="Calibri" w:cs="Arial"/>
          <w:b/>
          <w:bCs/>
          <w:szCs w:val="22"/>
        </w:rPr>
        <w:t xml:space="preserve"> include</w:t>
      </w:r>
      <w:r w:rsidR="00701260" w:rsidRPr="007F08AC">
        <w:rPr>
          <w:rFonts w:eastAsia="Calibri" w:cs="Arial"/>
          <w:b/>
          <w:bCs/>
          <w:szCs w:val="22"/>
        </w:rPr>
        <w:t>:</w:t>
      </w:r>
    </w:p>
    <w:p w14:paraId="62E8C85A" w14:textId="77777777" w:rsidR="007F08AC" w:rsidRDefault="00EC1330" w:rsidP="007F08AC">
      <w:pPr>
        <w:pStyle w:val="ListParagraph"/>
        <w:numPr>
          <w:ilvl w:val="2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 w:rsidRPr="007F08AC">
        <w:rPr>
          <w:rFonts w:eastAsia="Calibri" w:cs="Arial"/>
          <w:szCs w:val="22"/>
        </w:rPr>
        <w:t>A</w:t>
      </w:r>
      <w:r w:rsidR="004A68C8" w:rsidRPr="007F08AC">
        <w:rPr>
          <w:rFonts w:eastAsia="Calibri" w:cs="Arial"/>
          <w:szCs w:val="22"/>
        </w:rPr>
        <w:t xml:space="preserve">ll service that transferred under The </w:t>
      </w:r>
      <w:r w:rsidR="000B4D4E" w:rsidRPr="007F08AC">
        <w:rPr>
          <w:rFonts w:eastAsia="Calibri" w:cs="Arial"/>
          <w:szCs w:val="22"/>
        </w:rPr>
        <w:t xml:space="preserve">Offender </w:t>
      </w:r>
      <w:r w:rsidR="004A68C8" w:rsidRPr="007F08AC">
        <w:rPr>
          <w:rFonts w:eastAsia="Calibri" w:cs="Arial"/>
          <w:szCs w:val="22"/>
        </w:rPr>
        <w:t>Management Act 2007 (Probation Services) Transfer Scheme 2014</w:t>
      </w:r>
      <w:r w:rsidR="00701260" w:rsidRPr="007F08AC">
        <w:rPr>
          <w:rFonts w:eastAsia="Calibri" w:cs="Arial"/>
          <w:szCs w:val="22"/>
        </w:rPr>
        <w:t>;</w:t>
      </w:r>
      <w:r w:rsidR="004A68C8" w:rsidRPr="007F08AC">
        <w:rPr>
          <w:rFonts w:eastAsia="Calibri" w:cs="Arial"/>
          <w:szCs w:val="22"/>
        </w:rPr>
        <w:t xml:space="preserve"> </w:t>
      </w:r>
      <w:bookmarkStart w:id="1" w:name="_Hlk45896972"/>
      <w:r w:rsidR="00D679A2" w:rsidRPr="007F08AC">
        <w:rPr>
          <w:rFonts w:eastAsia="Calibri" w:cs="Arial"/>
          <w:szCs w:val="22"/>
        </w:rPr>
        <w:t>including</w:t>
      </w:r>
      <w:r w:rsidR="009911E8" w:rsidRPr="007F08AC">
        <w:rPr>
          <w:rFonts w:eastAsia="Calibri" w:cs="Arial"/>
          <w:szCs w:val="22"/>
        </w:rPr>
        <w:t>:</w:t>
      </w:r>
    </w:p>
    <w:p w14:paraId="175B0BF3" w14:textId="77777777" w:rsidR="007F08AC" w:rsidRDefault="005E6286" w:rsidP="007F08AC">
      <w:pPr>
        <w:pStyle w:val="ListParagraph"/>
        <w:numPr>
          <w:ilvl w:val="2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 w:rsidRPr="007F08AC">
        <w:rPr>
          <w:rFonts w:eastAsia="Calibri" w:cs="Arial"/>
          <w:szCs w:val="22"/>
        </w:rPr>
        <w:t xml:space="preserve">Prior </w:t>
      </w:r>
      <w:r w:rsidR="00236E72" w:rsidRPr="007F08AC">
        <w:rPr>
          <w:rFonts w:eastAsia="Calibri" w:cs="Arial"/>
          <w:szCs w:val="22"/>
        </w:rPr>
        <w:t>continuous service with any public authority</w:t>
      </w:r>
      <w:r w:rsidR="0098480E" w:rsidRPr="007F08AC">
        <w:rPr>
          <w:rFonts w:eastAsia="Calibri" w:cs="Arial"/>
          <w:szCs w:val="22"/>
        </w:rPr>
        <w:t>(</w:t>
      </w:r>
      <w:proofErr w:type="spellStart"/>
      <w:r w:rsidR="0098480E" w:rsidRPr="007F08AC">
        <w:rPr>
          <w:rFonts w:eastAsia="Calibri" w:cs="Arial"/>
          <w:szCs w:val="22"/>
        </w:rPr>
        <w:t>ies</w:t>
      </w:r>
      <w:proofErr w:type="spellEnd"/>
      <w:r w:rsidR="0098480E" w:rsidRPr="007F08AC">
        <w:rPr>
          <w:rFonts w:eastAsia="Calibri" w:cs="Arial"/>
          <w:szCs w:val="22"/>
        </w:rPr>
        <w:t>)</w:t>
      </w:r>
      <w:r w:rsidR="00236E72" w:rsidRPr="007F08AC">
        <w:rPr>
          <w:rFonts w:eastAsia="Calibri" w:cs="Arial"/>
          <w:szCs w:val="22"/>
        </w:rPr>
        <w:t xml:space="preserve"> to which The Redundancy Payments (Continuity of Employment in Local Government, etc) (Modification) Order 1999 (“</w:t>
      </w:r>
      <w:r w:rsidR="00236E72" w:rsidRPr="007F08AC">
        <w:rPr>
          <w:rFonts w:eastAsia="Calibri" w:cs="Arial"/>
          <w:b/>
          <w:szCs w:val="22"/>
        </w:rPr>
        <w:t>RMO</w:t>
      </w:r>
      <w:r w:rsidR="00236E72" w:rsidRPr="007F08AC">
        <w:rPr>
          <w:rFonts w:eastAsia="Calibri" w:cs="Arial"/>
          <w:szCs w:val="22"/>
        </w:rPr>
        <w:t>”) applies</w:t>
      </w:r>
      <w:r w:rsidRPr="007F08AC">
        <w:rPr>
          <w:rFonts w:eastAsia="Calibri" w:cs="Arial"/>
          <w:szCs w:val="22"/>
        </w:rPr>
        <w:t>/applied</w:t>
      </w:r>
      <w:r w:rsidR="00236E72" w:rsidRPr="007F08AC">
        <w:rPr>
          <w:rFonts w:eastAsia="Calibri" w:cs="Arial"/>
          <w:szCs w:val="22"/>
        </w:rPr>
        <w:t xml:space="preserve">.  </w:t>
      </w:r>
      <w:bookmarkEnd w:id="1"/>
    </w:p>
    <w:p w14:paraId="1AE6284B" w14:textId="77777777" w:rsidR="007F08AC" w:rsidRDefault="00EC1330" w:rsidP="007F08AC">
      <w:pPr>
        <w:pStyle w:val="ListParagraph"/>
        <w:numPr>
          <w:ilvl w:val="2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 w:rsidRPr="007F08AC">
        <w:rPr>
          <w:rFonts w:eastAsia="Calibri" w:cs="Arial"/>
          <w:szCs w:val="22"/>
        </w:rPr>
        <w:t>S</w:t>
      </w:r>
      <w:r w:rsidR="00A162F9" w:rsidRPr="007F08AC">
        <w:rPr>
          <w:rFonts w:eastAsia="Calibri" w:cs="Arial"/>
          <w:szCs w:val="22"/>
        </w:rPr>
        <w:t xml:space="preserve">tatutory </w:t>
      </w:r>
      <w:r w:rsidR="004A68C8" w:rsidRPr="007F08AC">
        <w:rPr>
          <w:rFonts w:eastAsia="Calibri" w:cs="Arial"/>
          <w:szCs w:val="22"/>
        </w:rPr>
        <w:t xml:space="preserve">continuous service since </w:t>
      </w:r>
      <w:r w:rsidR="002A7A43" w:rsidRPr="007F08AC">
        <w:rPr>
          <w:rFonts w:eastAsia="Calibri" w:cs="Arial"/>
          <w:szCs w:val="22"/>
        </w:rPr>
        <w:t>the 2014 transfers to the NPS and the CRCs</w:t>
      </w:r>
      <w:r w:rsidR="009911E8" w:rsidRPr="007F08AC">
        <w:rPr>
          <w:rFonts w:eastAsia="Calibri" w:cs="Arial"/>
          <w:szCs w:val="22"/>
        </w:rPr>
        <w:t>.</w:t>
      </w:r>
    </w:p>
    <w:p w14:paraId="0AA495DF" w14:textId="77777777" w:rsidR="007F08AC" w:rsidRDefault="00EC1330" w:rsidP="007F08AC">
      <w:pPr>
        <w:pStyle w:val="ListParagraph"/>
        <w:numPr>
          <w:ilvl w:val="1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 w:rsidRPr="007F08AC">
        <w:rPr>
          <w:rFonts w:eastAsia="Calibri" w:cs="Arial"/>
          <w:b/>
          <w:bCs/>
          <w:szCs w:val="22"/>
        </w:rPr>
        <w:t>F</w:t>
      </w:r>
      <w:r w:rsidR="004A68C8" w:rsidRPr="007F08AC">
        <w:rPr>
          <w:rFonts w:eastAsia="Calibri" w:cs="Arial"/>
          <w:b/>
          <w:bCs/>
          <w:szCs w:val="22"/>
        </w:rPr>
        <w:t xml:space="preserve">or those who transferred </w:t>
      </w:r>
      <w:r w:rsidR="004070F3" w:rsidRPr="007F08AC">
        <w:rPr>
          <w:rFonts w:eastAsia="Calibri" w:cs="Arial"/>
          <w:b/>
          <w:bCs/>
          <w:szCs w:val="22"/>
        </w:rPr>
        <w:t xml:space="preserve">under </w:t>
      </w:r>
      <w:r w:rsidR="004A68C8" w:rsidRPr="007F08AC">
        <w:rPr>
          <w:rFonts w:eastAsia="Calibri" w:cs="Arial"/>
          <w:b/>
          <w:bCs/>
          <w:szCs w:val="22"/>
        </w:rPr>
        <w:t xml:space="preserve">The </w:t>
      </w:r>
      <w:r w:rsidR="000B4D4E" w:rsidRPr="007F08AC">
        <w:rPr>
          <w:rFonts w:eastAsia="Calibri" w:cs="Arial"/>
          <w:b/>
          <w:bCs/>
          <w:szCs w:val="22"/>
        </w:rPr>
        <w:t xml:space="preserve">Offender </w:t>
      </w:r>
      <w:r w:rsidR="004A68C8" w:rsidRPr="007F08AC">
        <w:rPr>
          <w:rFonts w:eastAsia="Calibri" w:cs="Arial"/>
          <w:b/>
          <w:bCs/>
          <w:szCs w:val="22"/>
        </w:rPr>
        <w:t>Management Act 2007 (Serco Ltd Employees) Transfer Scheme 2014</w:t>
      </w:r>
      <w:r w:rsidR="004A68C8" w:rsidRPr="007F08AC">
        <w:rPr>
          <w:rFonts w:eastAsia="Calibri" w:cs="Arial"/>
          <w:szCs w:val="22"/>
        </w:rPr>
        <w:t xml:space="preserve"> </w:t>
      </w:r>
      <w:r w:rsidR="00A162F9" w:rsidRPr="007F08AC">
        <w:rPr>
          <w:rFonts w:eastAsia="Calibri" w:cs="Arial"/>
          <w:szCs w:val="22"/>
        </w:rPr>
        <w:t>their continuous service for voluntary redundancy</w:t>
      </w:r>
      <w:r w:rsidR="004070F3" w:rsidRPr="007F08AC">
        <w:rPr>
          <w:rFonts w:eastAsia="Calibri" w:cs="Arial"/>
          <w:szCs w:val="22"/>
        </w:rPr>
        <w:t xml:space="preserve">/voluntary </w:t>
      </w:r>
      <w:proofErr w:type="spellStart"/>
      <w:r w:rsidR="004070F3" w:rsidRPr="007F08AC">
        <w:rPr>
          <w:rFonts w:eastAsia="Calibri" w:cs="Arial"/>
          <w:szCs w:val="22"/>
        </w:rPr>
        <w:t>severence</w:t>
      </w:r>
      <w:proofErr w:type="spellEnd"/>
      <w:r w:rsidR="00A162F9" w:rsidRPr="007F08AC">
        <w:rPr>
          <w:rFonts w:eastAsia="Calibri" w:cs="Arial"/>
          <w:szCs w:val="22"/>
        </w:rPr>
        <w:t xml:space="preserve"> purposes shall include</w:t>
      </w:r>
      <w:r w:rsidR="00701260" w:rsidRPr="007F08AC">
        <w:rPr>
          <w:rFonts w:eastAsia="Calibri" w:cs="Arial"/>
          <w:szCs w:val="22"/>
        </w:rPr>
        <w:t>:</w:t>
      </w:r>
    </w:p>
    <w:p w14:paraId="67165092" w14:textId="77777777" w:rsidR="007F08AC" w:rsidRDefault="009949EF" w:rsidP="007F08AC">
      <w:pPr>
        <w:pStyle w:val="ListParagraph"/>
        <w:numPr>
          <w:ilvl w:val="2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A</w:t>
      </w:r>
      <w:r w:rsidR="004A68C8" w:rsidRPr="007F08AC">
        <w:rPr>
          <w:rFonts w:eastAsia="Calibri" w:cs="Arial"/>
          <w:szCs w:val="22"/>
        </w:rPr>
        <w:t xml:space="preserve">ll service which transferred under that </w:t>
      </w:r>
      <w:r w:rsidR="00A162F9" w:rsidRPr="007F08AC">
        <w:rPr>
          <w:rFonts w:eastAsia="Calibri" w:cs="Arial"/>
          <w:szCs w:val="22"/>
        </w:rPr>
        <w:t>Transfer Schem</w:t>
      </w:r>
      <w:r w:rsidR="004070F3" w:rsidRPr="007F08AC">
        <w:rPr>
          <w:rFonts w:eastAsia="Calibri" w:cs="Arial"/>
          <w:szCs w:val="22"/>
        </w:rPr>
        <w:t>e including</w:t>
      </w:r>
    </w:p>
    <w:p w14:paraId="5E1DD298" w14:textId="77777777" w:rsidR="007F08AC" w:rsidRDefault="004070F3" w:rsidP="007F08AC">
      <w:pPr>
        <w:pStyle w:val="ListParagraph"/>
        <w:numPr>
          <w:ilvl w:val="2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 w:rsidRPr="007F08AC">
        <w:rPr>
          <w:rFonts w:eastAsia="Calibri" w:cs="Arial"/>
          <w:szCs w:val="22"/>
        </w:rPr>
        <w:t>Prior continuous service with any public authority to which The Redundancy Payments (Continuity of Employment in Local Government, etc) (Modification) Order 1999 (“</w:t>
      </w:r>
      <w:r w:rsidRPr="007F08AC">
        <w:rPr>
          <w:rFonts w:eastAsia="Calibri" w:cs="Arial"/>
          <w:b/>
          <w:szCs w:val="22"/>
        </w:rPr>
        <w:t>RMO</w:t>
      </w:r>
      <w:r w:rsidRPr="007F08AC">
        <w:rPr>
          <w:rFonts w:eastAsia="Calibri" w:cs="Arial"/>
          <w:szCs w:val="22"/>
        </w:rPr>
        <w:t xml:space="preserve">”) applies/applied, and.  </w:t>
      </w:r>
    </w:p>
    <w:p w14:paraId="3924FE17" w14:textId="77777777" w:rsidR="00446B23" w:rsidRDefault="009911E8" w:rsidP="007F08AC">
      <w:pPr>
        <w:pStyle w:val="ListParagraph"/>
        <w:numPr>
          <w:ilvl w:val="2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szCs w:val="22"/>
        </w:rPr>
      </w:pPr>
      <w:r w:rsidRPr="007F08AC">
        <w:rPr>
          <w:rFonts w:eastAsia="Calibri" w:cs="Arial"/>
          <w:szCs w:val="22"/>
        </w:rPr>
        <w:t>A</w:t>
      </w:r>
      <w:r w:rsidR="00A162F9" w:rsidRPr="007F08AC">
        <w:rPr>
          <w:rFonts w:eastAsia="Calibri" w:cs="Arial"/>
          <w:szCs w:val="22"/>
        </w:rPr>
        <w:t>ll statutory continuous service since</w:t>
      </w:r>
      <w:r w:rsidRPr="007F08AC">
        <w:rPr>
          <w:rFonts w:eastAsia="Calibri" w:cs="Arial"/>
          <w:szCs w:val="22"/>
        </w:rPr>
        <w:t xml:space="preserve"> </w:t>
      </w:r>
      <w:r w:rsidR="004070F3" w:rsidRPr="007F08AC">
        <w:rPr>
          <w:rFonts w:eastAsia="Calibri" w:cs="Arial"/>
          <w:szCs w:val="22"/>
        </w:rPr>
        <w:t>the 2014 transfer</w:t>
      </w:r>
      <w:r w:rsidRPr="007F08AC">
        <w:rPr>
          <w:rFonts w:eastAsia="Calibri" w:cs="Arial"/>
          <w:szCs w:val="22"/>
        </w:rPr>
        <w:t>.</w:t>
      </w:r>
    </w:p>
    <w:p w14:paraId="5B348F45" w14:textId="114D538A" w:rsidR="007F08AC" w:rsidRPr="009949EF" w:rsidRDefault="007F08AC" w:rsidP="007F08AC">
      <w:pPr>
        <w:pStyle w:val="ListParagraph"/>
        <w:numPr>
          <w:ilvl w:val="1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b/>
          <w:szCs w:val="22"/>
        </w:rPr>
      </w:pPr>
      <w:r w:rsidRPr="009949EF">
        <w:rPr>
          <w:rFonts w:eastAsia="Calibri" w:cs="Arial"/>
          <w:b/>
          <w:szCs w:val="22"/>
        </w:rPr>
        <w:t>For</w:t>
      </w:r>
      <w:r w:rsidR="009949EF">
        <w:rPr>
          <w:rFonts w:eastAsia="Calibri" w:cs="Arial"/>
          <w:b/>
          <w:szCs w:val="22"/>
        </w:rPr>
        <w:t xml:space="preserve"> those who transferred under The Offender Management Act 2007 (</w:t>
      </w:r>
      <w:r w:rsidR="009F75EB">
        <w:rPr>
          <w:rFonts w:eastAsia="Calibri" w:cs="Arial"/>
          <w:b/>
          <w:szCs w:val="22"/>
        </w:rPr>
        <w:t xml:space="preserve">Capita </w:t>
      </w:r>
      <w:r w:rsidR="009949EF">
        <w:rPr>
          <w:rFonts w:eastAsia="Calibri" w:cs="Arial"/>
          <w:b/>
          <w:szCs w:val="22"/>
        </w:rPr>
        <w:t>Enforcement</w:t>
      </w:r>
      <w:r w:rsidR="009F75EB">
        <w:rPr>
          <w:rFonts w:eastAsia="Calibri" w:cs="Arial"/>
          <w:b/>
          <w:szCs w:val="22"/>
        </w:rPr>
        <w:t xml:space="preserve"> Employees</w:t>
      </w:r>
      <w:r w:rsidR="009949EF">
        <w:rPr>
          <w:rFonts w:eastAsia="Calibri" w:cs="Arial"/>
          <w:b/>
          <w:szCs w:val="22"/>
        </w:rPr>
        <w:t>) Transfer Scheme 2015</w:t>
      </w:r>
      <w:r w:rsidR="009949EF">
        <w:rPr>
          <w:rFonts w:eastAsia="Calibri" w:cs="Arial"/>
          <w:szCs w:val="22"/>
        </w:rPr>
        <w:t xml:space="preserve"> their continuous service for voluntary redundancy / voluntary severance purposes shall include:</w:t>
      </w:r>
    </w:p>
    <w:p w14:paraId="0A693EE2" w14:textId="77777777" w:rsidR="009949EF" w:rsidRPr="009949EF" w:rsidRDefault="009949EF" w:rsidP="009949EF">
      <w:pPr>
        <w:pStyle w:val="ListParagraph"/>
        <w:numPr>
          <w:ilvl w:val="2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b/>
          <w:szCs w:val="22"/>
        </w:rPr>
      </w:pPr>
      <w:r>
        <w:rPr>
          <w:rFonts w:eastAsia="Calibri" w:cs="Arial"/>
          <w:szCs w:val="22"/>
        </w:rPr>
        <w:t>All service which transferred under that Transfer Scheme including</w:t>
      </w:r>
    </w:p>
    <w:p w14:paraId="029E1E66" w14:textId="77777777" w:rsidR="009949EF" w:rsidRPr="009949EF" w:rsidRDefault="009949EF" w:rsidP="009949EF">
      <w:pPr>
        <w:pStyle w:val="ListParagraph"/>
        <w:numPr>
          <w:ilvl w:val="2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b/>
          <w:szCs w:val="22"/>
        </w:rPr>
      </w:pPr>
      <w:r>
        <w:rPr>
          <w:rFonts w:eastAsia="Calibri" w:cs="Arial"/>
          <w:szCs w:val="22"/>
        </w:rPr>
        <w:t>Prior continuous service with any public authority to which The Redundancy Payments (Continuity of Employment in Local Government, etc) (Modification) Order 1999 (“RMO”) applies / applied, and</w:t>
      </w:r>
    </w:p>
    <w:p w14:paraId="0700EEAC" w14:textId="77777777" w:rsidR="009949EF" w:rsidRPr="009949EF" w:rsidRDefault="009949EF" w:rsidP="009949EF">
      <w:pPr>
        <w:pStyle w:val="ListParagraph"/>
        <w:numPr>
          <w:ilvl w:val="2"/>
          <w:numId w:val="11"/>
        </w:numPr>
        <w:tabs>
          <w:tab w:val="left" w:pos="0"/>
          <w:tab w:val="left" w:pos="1276"/>
        </w:tabs>
        <w:spacing w:line="240" w:lineRule="auto"/>
        <w:rPr>
          <w:rFonts w:eastAsia="Calibri" w:cs="Arial"/>
          <w:b/>
          <w:szCs w:val="22"/>
        </w:rPr>
      </w:pPr>
      <w:r>
        <w:rPr>
          <w:rFonts w:eastAsia="Calibri" w:cs="Arial"/>
          <w:szCs w:val="22"/>
        </w:rPr>
        <w:t>All statutory continuous service since the 2015 transfer.</w:t>
      </w:r>
    </w:p>
    <w:p w14:paraId="49D0F821" w14:textId="77777777" w:rsidR="00EC1330" w:rsidRPr="00EC1330" w:rsidRDefault="00EC1330" w:rsidP="007F08AC">
      <w:pPr>
        <w:pStyle w:val="ListParagraph"/>
        <w:spacing w:line="240" w:lineRule="auto"/>
        <w:ind w:left="360"/>
        <w:rPr>
          <w:rFonts w:eastAsia="Calibri" w:cs="Arial"/>
          <w:szCs w:val="22"/>
        </w:rPr>
      </w:pPr>
    </w:p>
    <w:p w14:paraId="70CBEAEF" w14:textId="77777777" w:rsidR="00EC1330" w:rsidRPr="00EC1330" w:rsidRDefault="00A162F9" w:rsidP="007F08AC">
      <w:pPr>
        <w:pStyle w:val="ListParagraph"/>
        <w:numPr>
          <w:ilvl w:val="0"/>
          <w:numId w:val="11"/>
        </w:numPr>
        <w:spacing w:line="240" w:lineRule="auto"/>
        <w:rPr>
          <w:rFonts w:eastAsia="Calibri" w:cs="Arial"/>
          <w:szCs w:val="22"/>
        </w:rPr>
      </w:pPr>
      <w:r w:rsidRPr="00EC1330">
        <w:rPr>
          <w:rFonts w:eastAsia="Calibri" w:cs="Arial"/>
          <w:szCs w:val="22"/>
        </w:rPr>
        <w:t xml:space="preserve">For those recruited by </w:t>
      </w:r>
      <w:r w:rsidR="00CA1BB3" w:rsidRPr="00EC1330">
        <w:rPr>
          <w:rFonts w:eastAsia="Calibri" w:cs="Arial"/>
          <w:szCs w:val="22"/>
        </w:rPr>
        <w:t>a Community Rehabilitation Company (CRC)</w:t>
      </w:r>
      <w:r w:rsidRPr="00EC1330">
        <w:rPr>
          <w:rFonts w:eastAsia="Calibri" w:cs="Arial"/>
          <w:szCs w:val="22"/>
        </w:rPr>
        <w:t xml:space="preserve"> only statutory continuous service working on probation services</w:t>
      </w:r>
      <w:r w:rsidR="00701260" w:rsidRPr="00EC1330">
        <w:rPr>
          <w:rFonts w:eastAsia="Calibri" w:cs="Arial"/>
          <w:szCs w:val="22"/>
        </w:rPr>
        <w:t>, whilst in the CRC’s employment</w:t>
      </w:r>
      <w:r w:rsidRPr="00EC1330">
        <w:rPr>
          <w:rFonts w:eastAsia="Calibri" w:cs="Arial"/>
          <w:szCs w:val="22"/>
        </w:rPr>
        <w:t xml:space="preserve"> shall be</w:t>
      </w:r>
      <w:r w:rsidR="000C01EC" w:rsidRPr="00EC1330">
        <w:rPr>
          <w:rFonts w:eastAsia="Calibri" w:cs="Arial"/>
          <w:szCs w:val="22"/>
        </w:rPr>
        <w:t xml:space="preserve"> deemed </w:t>
      </w:r>
      <w:r w:rsidRPr="00EC1330">
        <w:rPr>
          <w:rFonts w:eastAsia="Calibri" w:cs="Arial"/>
          <w:szCs w:val="22"/>
        </w:rPr>
        <w:t>continuous service for voluntary redundancy</w:t>
      </w:r>
      <w:r w:rsidR="00B74D8E">
        <w:rPr>
          <w:rFonts w:eastAsia="Calibri" w:cs="Arial"/>
          <w:szCs w:val="22"/>
        </w:rPr>
        <w:t>/</w:t>
      </w:r>
      <w:r w:rsidR="0098480E">
        <w:rPr>
          <w:rFonts w:eastAsia="Calibri" w:cs="Arial"/>
          <w:szCs w:val="22"/>
        </w:rPr>
        <w:t xml:space="preserve">voluntary </w:t>
      </w:r>
      <w:r w:rsidR="009911E8">
        <w:rPr>
          <w:rFonts w:eastAsia="Calibri" w:cs="Arial"/>
          <w:szCs w:val="22"/>
        </w:rPr>
        <w:t xml:space="preserve">severance </w:t>
      </w:r>
      <w:r w:rsidRPr="00EC1330">
        <w:rPr>
          <w:rFonts w:eastAsia="Calibri" w:cs="Arial"/>
          <w:szCs w:val="22"/>
        </w:rPr>
        <w:t>purposes</w:t>
      </w:r>
      <w:r w:rsidR="00CA1BB3" w:rsidRPr="00EC1330">
        <w:rPr>
          <w:rFonts w:eastAsia="Calibri" w:cs="Arial"/>
          <w:szCs w:val="22"/>
        </w:rPr>
        <w:t>.</w:t>
      </w:r>
    </w:p>
    <w:p w14:paraId="5A00C563" w14:textId="77777777" w:rsidR="00EC1330" w:rsidRPr="00EC1330" w:rsidRDefault="00EC1330" w:rsidP="007F08AC">
      <w:pPr>
        <w:pStyle w:val="ListParagraph"/>
        <w:spacing w:line="240" w:lineRule="auto"/>
        <w:ind w:left="360"/>
        <w:rPr>
          <w:rFonts w:eastAsia="Calibri" w:cs="Arial"/>
          <w:szCs w:val="22"/>
        </w:rPr>
      </w:pPr>
    </w:p>
    <w:p w14:paraId="6AA15CD3" w14:textId="77777777" w:rsidR="00EC1330" w:rsidRPr="00EC1330" w:rsidRDefault="000C01EC" w:rsidP="007F08AC">
      <w:pPr>
        <w:pStyle w:val="ListParagraph"/>
        <w:numPr>
          <w:ilvl w:val="0"/>
          <w:numId w:val="11"/>
        </w:numPr>
        <w:spacing w:line="240" w:lineRule="auto"/>
        <w:rPr>
          <w:rFonts w:eastAsia="Calibri" w:cs="Arial"/>
          <w:szCs w:val="22"/>
        </w:rPr>
      </w:pPr>
      <w:r w:rsidRPr="00EC1330">
        <w:rPr>
          <w:rFonts w:eastAsia="Calibri" w:cs="Arial"/>
          <w:b/>
          <w:szCs w:val="22"/>
        </w:rPr>
        <w:t xml:space="preserve">Voluntary </w:t>
      </w:r>
      <w:r w:rsidR="006138A9" w:rsidRPr="00EC1330">
        <w:rPr>
          <w:rFonts w:eastAsia="Calibri" w:cs="Arial"/>
          <w:b/>
          <w:szCs w:val="22"/>
        </w:rPr>
        <w:t xml:space="preserve">Redundancy Pay – </w:t>
      </w:r>
      <w:r w:rsidRPr="00EC1330">
        <w:rPr>
          <w:rFonts w:eastAsia="Calibri" w:cs="Arial"/>
          <w:szCs w:val="22"/>
        </w:rPr>
        <w:t>Voluntary</w:t>
      </w:r>
      <w:r w:rsidRPr="00EC1330">
        <w:rPr>
          <w:rFonts w:eastAsia="Calibri" w:cs="Arial"/>
          <w:b/>
          <w:szCs w:val="22"/>
        </w:rPr>
        <w:t xml:space="preserve"> </w:t>
      </w:r>
      <w:r w:rsidR="006138A9" w:rsidRPr="00EC1330">
        <w:rPr>
          <w:rFonts w:eastAsia="Calibri" w:cs="Arial"/>
          <w:szCs w:val="22"/>
        </w:rPr>
        <w:t>Redundancy</w:t>
      </w:r>
      <w:r w:rsidR="0098480E">
        <w:rPr>
          <w:rFonts w:eastAsia="Calibri" w:cs="Arial"/>
          <w:szCs w:val="22"/>
        </w:rPr>
        <w:t xml:space="preserve">/voluntary </w:t>
      </w:r>
      <w:proofErr w:type="spellStart"/>
      <w:r w:rsidR="0098480E">
        <w:rPr>
          <w:rFonts w:eastAsia="Calibri" w:cs="Arial"/>
          <w:szCs w:val="22"/>
        </w:rPr>
        <w:t>severence</w:t>
      </w:r>
      <w:proofErr w:type="spellEnd"/>
      <w:r w:rsidR="006138A9" w:rsidRPr="00EC1330">
        <w:rPr>
          <w:rFonts w:eastAsia="Calibri" w:cs="Arial"/>
          <w:szCs w:val="22"/>
        </w:rPr>
        <w:t xml:space="preserve"> payments will be based on the employee’s actual weekly pay</w:t>
      </w:r>
      <w:r w:rsidR="00EC1330" w:rsidRPr="00EC1330">
        <w:rPr>
          <w:rFonts w:eastAsia="Calibri" w:cs="Arial"/>
          <w:szCs w:val="22"/>
        </w:rPr>
        <w:t xml:space="preserve"> and not the statutory maximum.</w:t>
      </w:r>
    </w:p>
    <w:p w14:paraId="4B730024" w14:textId="77777777" w:rsidR="00EC1330" w:rsidRPr="00EC1330" w:rsidRDefault="00EC1330" w:rsidP="007F08AC">
      <w:pPr>
        <w:pStyle w:val="ListParagraph"/>
        <w:spacing w:line="240" w:lineRule="auto"/>
        <w:rPr>
          <w:rFonts w:eastAsia="Calibri" w:cs="Arial"/>
          <w:b/>
          <w:szCs w:val="22"/>
        </w:rPr>
      </w:pPr>
    </w:p>
    <w:p w14:paraId="15D937BA" w14:textId="77777777" w:rsidR="007F08AC" w:rsidRPr="007F08AC" w:rsidRDefault="006138A9" w:rsidP="007F08AC">
      <w:pPr>
        <w:pStyle w:val="ListParagraph"/>
        <w:numPr>
          <w:ilvl w:val="0"/>
          <w:numId w:val="11"/>
        </w:numPr>
        <w:spacing w:line="240" w:lineRule="auto"/>
        <w:rPr>
          <w:rFonts w:eastAsia="Calibri" w:cs="Arial"/>
          <w:szCs w:val="22"/>
        </w:rPr>
      </w:pPr>
      <w:r w:rsidRPr="00EC1330">
        <w:rPr>
          <w:rFonts w:eastAsia="Calibri" w:cs="Arial"/>
          <w:b/>
          <w:szCs w:val="22"/>
        </w:rPr>
        <w:t>Voluntary Redundancy</w:t>
      </w:r>
      <w:r w:rsidR="008D289B">
        <w:rPr>
          <w:rFonts w:eastAsia="Calibri" w:cs="Arial"/>
          <w:b/>
          <w:szCs w:val="22"/>
        </w:rPr>
        <w:t>/Voluntary</w:t>
      </w:r>
      <w:r w:rsidR="000638FD">
        <w:rPr>
          <w:rFonts w:eastAsia="Calibri" w:cs="Arial"/>
          <w:b/>
          <w:szCs w:val="22"/>
        </w:rPr>
        <w:t xml:space="preserve"> </w:t>
      </w:r>
      <w:proofErr w:type="spellStart"/>
      <w:r w:rsidR="000638FD">
        <w:rPr>
          <w:rFonts w:eastAsia="Calibri" w:cs="Arial"/>
          <w:b/>
          <w:szCs w:val="22"/>
        </w:rPr>
        <w:t>Severence</w:t>
      </w:r>
      <w:proofErr w:type="spellEnd"/>
      <w:r w:rsidRPr="00EC1330">
        <w:rPr>
          <w:rFonts w:eastAsia="Calibri" w:cs="Arial"/>
          <w:b/>
          <w:szCs w:val="22"/>
        </w:rPr>
        <w:t xml:space="preserve"> for those under age 55 </w:t>
      </w:r>
    </w:p>
    <w:p w14:paraId="493B9B75" w14:textId="77777777" w:rsidR="007F08AC" w:rsidRPr="007F08AC" w:rsidRDefault="007F08AC" w:rsidP="007F08AC">
      <w:pPr>
        <w:pStyle w:val="ListParagraph"/>
        <w:rPr>
          <w:rFonts w:eastAsia="Calibri" w:cs="Arial"/>
          <w:szCs w:val="22"/>
        </w:rPr>
      </w:pPr>
    </w:p>
    <w:p w14:paraId="0EC7BCE3" w14:textId="77777777" w:rsidR="007F08AC" w:rsidRDefault="006138A9" w:rsidP="007F08AC">
      <w:pPr>
        <w:pStyle w:val="ListParagraph"/>
        <w:numPr>
          <w:ilvl w:val="1"/>
          <w:numId w:val="11"/>
        </w:numPr>
        <w:spacing w:line="240" w:lineRule="auto"/>
        <w:rPr>
          <w:rFonts w:eastAsia="Calibri" w:cs="Arial"/>
          <w:szCs w:val="22"/>
        </w:rPr>
      </w:pPr>
      <w:r w:rsidRPr="007F08AC">
        <w:rPr>
          <w:rFonts w:eastAsia="Calibri" w:cs="Arial"/>
          <w:szCs w:val="22"/>
        </w:rPr>
        <w:t>Redundancy compensation will be paid, subject to a maximum of 67.5 weeks’ pay and reckonable service of 15 complete years, as follows:</w:t>
      </w:r>
    </w:p>
    <w:p w14:paraId="1FA5FABA" w14:textId="77777777" w:rsidR="007F08AC" w:rsidRDefault="006138A9" w:rsidP="007F08AC">
      <w:pPr>
        <w:pStyle w:val="ListParagraph"/>
        <w:numPr>
          <w:ilvl w:val="2"/>
          <w:numId w:val="11"/>
        </w:numPr>
        <w:spacing w:line="240" w:lineRule="auto"/>
        <w:rPr>
          <w:rFonts w:eastAsia="Calibri" w:cs="Arial"/>
          <w:szCs w:val="22"/>
        </w:rPr>
      </w:pPr>
      <w:r w:rsidRPr="007F08AC">
        <w:rPr>
          <w:rFonts w:eastAsia="Calibri" w:cs="Arial"/>
          <w:szCs w:val="22"/>
        </w:rPr>
        <w:t>Four and a half weeks’ pay for each year of completed service</w:t>
      </w:r>
    </w:p>
    <w:p w14:paraId="3D907621" w14:textId="77777777" w:rsidR="00EC1330" w:rsidRPr="007F08AC" w:rsidRDefault="006138A9" w:rsidP="007F08AC">
      <w:pPr>
        <w:pStyle w:val="ListParagraph"/>
        <w:numPr>
          <w:ilvl w:val="2"/>
          <w:numId w:val="11"/>
        </w:numPr>
        <w:spacing w:line="240" w:lineRule="auto"/>
        <w:rPr>
          <w:rFonts w:eastAsia="Calibri" w:cs="Arial"/>
          <w:szCs w:val="22"/>
        </w:rPr>
      </w:pPr>
      <w:r w:rsidRPr="007F08AC">
        <w:rPr>
          <w:rFonts w:eastAsia="Calibri" w:cs="Arial"/>
          <w:szCs w:val="22"/>
        </w:rPr>
        <w:t xml:space="preserve">Any statutory redundancy payment is included in the compensation payable.  </w:t>
      </w:r>
    </w:p>
    <w:p w14:paraId="6A10B18B" w14:textId="77777777" w:rsidR="00EC1330" w:rsidRDefault="00EC1330" w:rsidP="007F08AC">
      <w:pPr>
        <w:pStyle w:val="ListParagraph"/>
        <w:spacing w:line="240" w:lineRule="auto"/>
        <w:ind w:left="360"/>
        <w:rPr>
          <w:rFonts w:eastAsia="Calibri" w:cs="Arial"/>
          <w:szCs w:val="22"/>
        </w:rPr>
      </w:pPr>
    </w:p>
    <w:p w14:paraId="1D780E5F" w14:textId="77777777" w:rsidR="00EC1330" w:rsidRPr="00EC1330" w:rsidRDefault="006138A9" w:rsidP="007F08AC">
      <w:pPr>
        <w:pStyle w:val="ListParagraph"/>
        <w:numPr>
          <w:ilvl w:val="0"/>
          <w:numId w:val="11"/>
        </w:numPr>
        <w:spacing w:line="240" w:lineRule="auto"/>
        <w:rPr>
          <w:rFonts w:eastAsia="Calibri" w:cs="Arial"/>
          <w:szCs w:val="22"/>
        </w:rPr>
      </w:pPr>
      <w:r w:rsidRPr="00EC1330">
        <w:rPr>
          <w:rFonts w:eastAsia="Calibri" w:cs="Arial"/>
          <w:szCs w:val="22"/>
        </w:rPr>
        <w:t>A ready reckoner is set out</w:t>
      </w:r>
      <w:r w:rsidR="00EC1330" w:rsidRPr="00EC1330">
        <w:rPr>
          <w:rFonts w:eastAsia="Calibri" w:cs="Arial"/>
          <w:szCs w:val="22"/>
        </w:rPr>
        <w:t xml:space="preserve"> at Annex A.</w:t>
      </w:r>
    </w:p>
    <w:p w14:paraId="21CC0311" w14:textId="77777777" w:rsidR="00EC1330" w:rsidRPr="00EC1330" w:rsidRDefault="00EC1330" w:rsidP="007F08AC">
      <w:pPr>
        <w:pStyle w:val="ListParagraph"/>
        <w:spacing w:line="240" w:lineRule="auto"/>
        <w:ind w:left="360"/>
        <w:rPr>
          <w:rFonts w:eastAsia="Calibri" w:cs="Arial"/>
          <w:szCs w:val="22"/>
        </w:rPr>
      </w:pPr>
    </w:p>
    <w:p w14:paraId="2A9E71A1" w14:textId="77777777" w:rsidR="007F08AC" w:rsidRPr="007F08AC" w:rsidRDefault="006138A9" w:rsidP="007F08AC">
      <w:pPr>
        <w:pStyle w:val="ListParagraph"/>
        <w:numPr>
          <w:ilvl w:val="0"/>
          <w:numId w:val="11"/>
        </w:numPr>
        <w:spacing w:line="240" w:lineRule="auto"/>
        <w:rPr>
          <w:rFonts w:eastAsia="Calibri" w:cs="Arial"/>
          <w:szCs w:val="22"/>
        </w:rPr>
      </w:pPr>
      <w:r w:rsidRPr="00EC1330">
        <w:rPr>
          <w:rFonts w:eastAsia="Calibri" w:cs="Arial"/>
          <w:b/>
          <w:szCs w:val="22"/>
        </w:rPr>
        <w:t>Voluntary Redund</w:t>
      </w:r>
      <w:r w:rsidR="00EC1330" w:rsidRPr="00EC1330">
        <w:rPr>
          <w:rFonts w:eastAsia="Calibri" w:cs="Arial"/>
          <w:b/>
          <w:szCs w:val="22"/>
        </w:rPr>
        <w:t>ancy for those aged 55 or over</w:t>
      </w:r>
    </w:p>
    <w:p w14:paraId="1B79E7C9" w14:textId="77777777" w:rsidR="007F08AC" w:rsidRPr="007F08AC" w:rsidRDefault="007F08AC" w:rsidP="007F08AC">
      <w:pPr>
        <w:pStyle w:val="ListParagraph"/>
        <w:rPr>
          <w:rFonts w:eastAsia="Calibri" w:cs="Arial"/>
          <w:szCs w:val="22"/>
        </w:rPr>
      </w:pPr>
    </w:p>
    <w:p w14:paraId="2EBDC9A3" w14:textId="77777777" w:rsidR="007F08AC" w:rsidRDefault="00EC1330" w:rsidP="007F08AC">
      <w:pPr>
        <w:pStyle w:val="ListParagraph"/>
        <w:numPr>
          <w:ilvl w:val="1"/>
          <w:numId w:val="11"/>
        </w:numPr>
        <w:spacing w:line="240" w:lineRule="auto"/>
        <w:rPr>
          <w:rFonts w:eastAsia="Calibri" w:cs="Arial"/>
          <w:szCs w:val="22"/>
        </w:rPr>
      </w:pPr>
      <w:r w:rsidRPr="007F08AC">
        <w:rPr>
          <w:rFonts w:eastAsia="Calibri" w:cs="Arial"/>
          <w:szCs w:val="22"/>
        </w:rPr>
        <w:t>R</w:t>
      </w:r>
      <w:r w:rsidR="006138A9" w:rsidRPr="007F08AC">
        <w:rPr>
          <w:rFonts w:eastAsia="Calibri" w:cs="Arial"/>
          <w:szCs w:val="22"/>
        </w:rPr>
        <w:t>edundancy payment will be paid, subject to a maximum of 67.5 weeks’ pay, in acco</w:t>
      </w:r>
      <w:r w:rsidR="00CA1BB3" w:rsidRPr="007F08AC">
        <w:rPr>
          <w:rFonts w:eastAsia="Calibri" w:cs="Arial"/>
          <w:szCs w:val="22"/>
        </w:rPr>
        <w:t>rdance with Paragraph</w:t>
      </w:r>
      <w:r w:rsidR="00367E36" w:rsidRPr="007F08AC">
        <w:rPr>
          <w:rFonts w:eastAsia="Calibri" w:cs="Arial"/>
          <w:szCs w:val="22"/>
        </w:rPr>
        <w:t xml:space="preserve">s </w:t>
      </w:r>
      <w:r w:rsidR="00FA2287" w:rsidRPr="007F08AC">
        <w:rPr>
          <w:rFonts w:eastAsia="Calibri" w:cs="Arial"/>
          <w:szCs w:val="22"/>
        </w:rPr>
        <w:t>8</w:t>
      </w:r>
      <w:r w:rsidR="00367E36" w:rsidRPr="007F08AC">
        <w:rPr>
          <w:rFonts w:eastAsia="Calibri" w:cs="Arial"/>
          <w:szCs w:val="22"/>
        </w:rPr>
        <w:t xml:space="preserve"> &amp; </w:t>
      </w:r>
      <w:r w:rsidR="00FA2287" w:rsidRPr="007F08AC">
        <w:rPr>
          <w:rFonts w:eastAsia="Calibri" w:cs="Arial"/>
          <w:szCs w:val="22"/>
        </w:rPr>
        <w:t>9</w:t>
      </w:r>
      <w:r w:rsidR="00367E36" w:rsidRPr="007F08AC">
        <w:rPr>
          <w:rFonts w:eastAsia="Calibri" w:cs="Arial"/>
          <w:szCs w:val="22"/>
        </w:rPr>
        <w:t xml:space="preserve"> </w:t>
      </w:r>
      <w:r w:rsidR="00CA1BB3" w:rsidRPr="007F08AC">
        <w:rPr>
          <w:rFonts w:eastAsia="Calibri" w:cs="Arial"/>
          <w:szCs w:val="22"/>
        </w:rPr>
        <w:t>above</w:t>
      </w:r>
      <w:r w:rsidR="00FA2287" w:rsidRPr="007F08AC">
        <w:rPr>
          <w:rFonts w:eastAsia="Calibri" w:cs="Arial"/>
          <w:szCs w:val="22"/>
        </w:rPr>
        <w:t>.</w:t>
      </w:r>
      <w:r w:rsidR="00CA1BB3" w:rsidRPr="007F08AC">
        <w:rPr>
          <w:rFonts w:eastAsia="Calibri" w:cs="Arial"/>
          <w:szCs w:val="22"/>
        </w:rPr>
        <w:t xml:space="preserve">  </w:t>
      </w:r>
    </w:p>
    <w:p w14:paraId="41ED2DDC" w14:textId="77777777" w:rsidR="006138A9" w:rsidRPr="007F08AC" w:rsidRDefault="006138A9" w:rsidP="007F08AC">
      <w:pPr>
        <w:pStyle w:val="ListParagraph"/>
        <w:numPr>
          <w:ilvl w:val="1"/>
          <w:numId w:val="11"/>
        </w:numPr>
        <w:spacing w:line="240" w:lineRule="auto"/>
        <w:rPr>
          <w:rFonts w:eastAsia="Calibri" w:cs="Arial"/>
          <w:szCs w:val="22"/>
        </w:rPr>
      </w:pPr>
      <w:r w:rsidRPr="007F08AC">
        <w:rPr>
          <w:rFonts w:eastAsia="Calibri" w:cs="Arial"/>
          <w:szCs w:val="22"/>
        </w:rPr>
        <w:t>Immediate payment of standard retirement pension and a standard retirement grant (i.e. pension lump sum)</w:t>
      </w:r>
      <w:r w:rsidR="000C01EC" w:rsidRPr="007F08AC">
        <w:rPr>
          <w:rFonts w:eastAsia="Calibri" w:cs="Arial"/>
          <w:szCs w:val="22"/>
        </w:rPr>
        <w:t xml:space="preserve">, where </w:t>
      </w:r>
      <w:r w:rsidR="000C01EC" w:rsidRPr="001620EE">
        <w:rPr>
          <w:rFonts w:eastAsia="Calibri" w:cs="Arial"/>
          <w:szCs w:val="22"/>
        </w:rPr>
        <w:t>payable, from the LGPS</w:t>
      </w:r>
      <w:r w:rsidR="00DD4FE2" w:rsidRPr="001620EE">
        <w:rPr>
          <w:rFonts w:eastAsia="Calibri" w:cs="Arial"/>
          <w:szCs w:val="22"/>
        </w:rPr>
        <w:t xml:space="preserve"> (subject to </w:t>
      </w:r>
      <w:r w:rsidR="00DD4FE2" w:rsidRPr="001620EE">
        <w:rPr>
          <w:rFonts w:cs="Arial"/>
          <w:szCs w:val="22"/>
        </w:rPr>
        <w:t>the Restriction of Public Sector Payment Regulations 2020)</w:t>
      </w:r>
      <w:r w:rsidRPr="001620EE">
        <w:rPr>
          <w:rFonts w:eastAsia="Calibri" w:cs="Arial"/>
          <w:szCs w:val="22"/>
        </w:rPr>
        <w:t>.</w:t>
      </w:r>
      <w:r w:rsidR="000C01EC" w:rsidRPr="001620EE">
        <w:rPr>
          <w:rFonts w:eastAsia="Calibri" w:cs="Arial"/>
          <w:szCs w:val="22"/>
        </w:rPr>
        <w:t xml:space="preserve"> </w:t>
      </w:r>
      <w:r w:rsidR="000C01EC" w:rsidRPr="007F08AC">
        <w:rPr>
          <w:rFonts w:eastAsia="Calibri" w:cs="Arial"/>
          <w:szCs w:val="22"/>
        </w:rPr>
        <w:t>If there is no LGPS entitlement, this is not required to be paid.</w:t>
      </w:r>
      <w:r w:rsidRPr="007F08AC">
        <w:rPr>
          <w:rFonts w:eastAsia="Calibri" w:cs="Arial"/>
          <w:szCs w:val="22"/>
        </w:rPr>
        <w:br/>
      </w:r>
    </w:p>
    <w:p w14:paraId="43051AE0" w14:textId="77777777" w:rsidR="006138A9" w:rsidRDefault="006138A9">
      <w:pPr>
        <w:rPr>
          <w:rFonts w:ascii="Arial" w:hAnsi="Arial" w:cs="Arial"/>
        </w:rPr>
      </w:pPr>
    </w:p>
    <w:p w14:paraId="35E4E7EE" w14:textId="77777777" w:rsidR="00CA1BB3" w:rsidRDefault="00CA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A26629" w14:textId="77777777" w:rsidR="007F08AC" w:rsidRPr="007F08AC" w:rsidRDefault="007F08AC" w:rsidP="007F08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Annex A</w:t>
      </w:r>
    </w:p>
    <w:p w14:paraId="5635FE6C" w14:textId="77777777" w:rsidR="006138A9" w:rsidRDefault="006138A9" w:rsidP="006138A9">
      <w:pPr>
        <w:rPr>
          <w:rFonts w:ascii="Arial" w:hAnsi="Arial" w:cs="Arial"/>
        </w:rPr>
      </w:pPr>
      <w:r>
        <w:rPr>
          <w:rFonts w:ascii="Arial" w:hAnsi="Arial" w:cs="Arial"/>
          <w:b/>
        </w:rPr>
        <w:t>Ready Reckoner</w:t>
      </w:r>
    </w:p>
    <w:tbl>
      <w:tblPr>
        <w:tblW w:w="828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49"/>
        <w:gridCol w:w="498"/>
        <w:gridCol w:w="328"/>
        <w:gridCol w:w="610"/>
        <w:gridCol w:w="440"/>
        <w:gridCol w:w="610"/>
        <w:gridCol w:w="440"/>
        <w:gridCol w:w="610"/>
        <w:gridCol w:w="440"/>
        <w:gridCol w:w="610"/>
        <w:gridCol w:w="440"/>
        <w:gridCol w:w="610"/>
        <w:gridCol w:w="440"/>
        <w:gridCol w:w="610"/>
        <w:gridCol w:w="440"/>
        <w:gridCol w:w="610"/>
      </w:tblGrid>
      <w:tr w:rsidR="006138A9" w:rsidRPr="006138A9" w14:paraId="0E9C0FE5" w14:textId="77777777" w:rsidTr="006138A9"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6E52A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66575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3284B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19687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C8B7B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3C498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DCE74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A0791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521DF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54E99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933E8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D2524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AB3F1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A0324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B53D8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067AA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138A9" w:rsidRPr="006138A9" w14:paraId="5E0E8C0B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141A72A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55AD157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6C1D0A7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1272C5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6DD70A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837AF7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B52C77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1BBD1C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D6C01E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3910A3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E4225B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AADC4B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7611F5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3FB10A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1BBF48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29F8DC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1CC17E52" w14:textId="77777777" w:rsidTr="006138A9">
        <w:trPr>
          <w:trHeight w:val="273"/>
        </w:trPr>
        <w:tc>
          <w:tcPr>
            <w:tcW w:w="549" w:type="dxa"/>
          </w:tcPr>
          <w:p w14:paraId="6F1F6BC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14:paraId="237736D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2F80C0A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796CD1D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5EBAFDE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46AB1D7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2D96784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00914D6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6152594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2F38E1B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34385A1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70E4DCB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16F3AFA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1DA6271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0A3617D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583C4F7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79833D8A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4617CD7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1A31C7C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02CA526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6C7C78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93D7F6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74D4D3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B98E73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3EA07F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44034F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E3BF3D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D0572D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5137AB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758C6A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3C9E9A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414B41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94D675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235D5BE0" w14:textId="77777777" w:rsidTr="006138A9">
        <w:tc>
          <w:tcPr>
            <w:tcW w:w="549" w:type="dxa"/>
          </w:tcPr>
          <w:p w14:paraId="3ADCC06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8" w:type="dxa"/>
          </w:tcPr>
          <w:p w14:paraId="41CE379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1F366AB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05A92C2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460E973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10" w:type="dxa"/>
          </w:tcPr>
          <w:p w14:paraId="38CB559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6BA0834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07D96F2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89C06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2EA5E5D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2D70119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3F5FEAE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5DC3955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44A98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6C2997F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12B7770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3D4D45EE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4F9A532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6E75C50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37149C0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CB25D0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1A7E75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16353A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A8D972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4EC3FF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65F5C5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36685D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F297C3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58E640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29F4C0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434CEA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8E8F79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C705A8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623C3254" w14:textId="77777777" w:rsidTr="006138A9">
        <w:tc>
          <w:tcPr>
            <w:tcW w:w="549" w:type="dxa"/>
          </w:tcPr>
          <w:p w14:paraId="58809C5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8" w:type="dxa"/>
          </w:tcPr>
          <w:p w14:paraId="58FAB07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2451810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65D0C12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148F424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56ED4A7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684FBB4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55D0AE7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41C302D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715107F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4CAB4CF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62B5AA6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6E56199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782175B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36AE246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51B685E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115537DB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3A63B5E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1E47372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2D1B251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56AA20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6D587C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8C6DCD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01243F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7C67F9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518F54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985AA1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7D9ED6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E76184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38D758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4E2251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2B6B36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60D8FD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754CA237" w14:textId="77777777" w:rsidTr="006138A9">
        <w:tc>
          <w:tcPr>
            <w:tcW w:w="549" w:type="dxa"/>
          </w:tcPr>
          <w:p w14:paraId="0D4C77D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8" w:type="dxa"/>
          </w:tcPr>
          <w:p w14:paraId="499F590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0127A2D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689F9DA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4E70C1D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56C8A7F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6AE1D48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74A21DC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0A5DF92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522BD8C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28506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60A1D19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3AF27B0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036687F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0F7B196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008B266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29ADC730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17F81AA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24237C0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00598F4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6D9766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F9EF87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0AF19A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87724B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DC7165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9B07CA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2AB720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642627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BC7521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8A5B37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7E2DE8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57FDC6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536281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4C78B7F8" w14:textId="77777777" w:rsidTr="006138A9">
        <w:tc>
          <w:tcPr>
            <w:tcW w:w="549" w:type="dxa"/>
          </w:tcPr>
          <w:p w14:paraId="0ABF507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8" w:type="dxa"/>
          </w:tcPr>
          <w:p w14:paraId="687D7D8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3146722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7695F32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719EB0E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6FF4961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152F791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5944C41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3E2284C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4D4DE1B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3FD95EF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111CB44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153D928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762B842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7E7AE6E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4BF9E2A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61BFC568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4E3691B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1E81E80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78AF7C1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F38112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4F7428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CBF75B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8144E1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E059DC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883B79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025CCF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5357F7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067E09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C20751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43A05C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0FD2D5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BC222D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3444DF40" w14:textId="77777777" w:rsidTr="006138A9">
        <w:tc>
          <w:tcPr>
            <w:tcW w:w="549" w:type="dxa"/>
          </w:tcPr>
          <w:p w14:paraId="15051A4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8" w:type="dxa"/>
          </w:tcPr>
          <w:p w14:paraId="7FCCB93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6BE9E35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06C29C2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72EC61A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716AF7F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2FB7B6D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35EE368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0EAF1D3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6F00424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77FACD2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6B9DD9B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21B70FE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06E9446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14:paraId="3DF2854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14:paraId="1BEED3E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2F8353FF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51355DE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07608E5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1E403E4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1A2BC0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B14514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57DF5F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C52E0E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28B9AC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0BE4E8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FD6DFA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14F622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D74A95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F91332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064BF4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40AEBA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1FF058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290BA108" w14:textId="77777777" w:rsidTr="006138A9">
        <w:tc>
          <w:tcPr>
            <w:tcW w:w="549" w:type="dxa"/>
          </w:tcPr>
          <w:p w14:paraId="5C3A3C9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8" w:type="dxa"/>
          </w:tcPr>
          <w:p w14:paraId="4132A33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4EABC68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2EEBEB3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2BAB12A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5CF6F4D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091CD9F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32E1BE9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195A01C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2D03BF8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03D6B44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5ECD9C7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10F786C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02FB219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774483C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1A7F848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138A9" w:rsidRPr="006138A9" w14:paraId="0880559C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3E2D8B0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743B13D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1975BEF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52C77E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601A9A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8D6040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5650EE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0FA958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84655E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D5B135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A0165A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2A4A71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1AB1E7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CBDB6F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52110D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0903CF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474F6DFB" w14:textId="77777777" w:rsidTr="006138A9">
        <w:tc>
          <w:tcPr>
            <w:tcW w:w="549" w:type="dxa"/>
          </w:tcPr>
          <w:p w14:paraId="3E60EEC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8" w:type="dxa"/>
          </w:tcPr>
          <w:p w14:paraId="27B52F7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6CEAED0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0B93141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24773A6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0D097A0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3F9A75B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23A2E94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3BDB8BE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7091F6B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2AB31C0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344820E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4E21F86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08438F1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22D6238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0C1CC8C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5E0ADC2E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4D3B216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707D69D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1652863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6F3EAD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684DB1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1D53EB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CD4ECD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F8FE56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E616C3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A80C60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93AE5B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38BAD9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08E78D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4BE3F1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187730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453CDC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5FEC32F2" w14:textId="77777777" w:rsidTr="006138A9">
        <w:tc>
          <w:tcPr>
            <w:tcW w:w="549" w:type="dxa"/>
          </w:tcPr>
          <w:p w14:paraId="61ADCA8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8" w:type="dxa"/>
          </w:tcPr>
          <w:p w14:paraId="63401DA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2DBF2DE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1A507EF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1D22816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4FC9FE9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1338C1F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03761C2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65224AC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6F9B628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371F8B4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502F833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49C93C4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481965B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115F66F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13FCAFA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563253B7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036B697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4ABA0E9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5ECE833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38C659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C231E5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A4EBA9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9589F9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7EF96A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D72ADD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38363E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29D40A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5C54FE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D9754F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1A27D5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1AF39B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A45E36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50D8C755" w14:textId="77777777" w:rsidTr="006138A9">
        <w:tc>
          <w:tcPr>
            <w:tcW w:w="549" w:type="dxa"/>
          </w:tcPr>
          <w:p w14:paraId="63C2772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8" w:type="dxa"/>
          </w:tcPr>
          <w:p w14:paraId="3661438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4C681BE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510478C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3399C1F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2CB39EA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01DAA97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3CA4F00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1E9A4C8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20761F0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6E8FFB9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24B2EF3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7F8F456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3665698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6B8DA75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3458E1B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16BB41EC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2763E02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3D9AC43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7566EEA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8DDCFF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07EF33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1466F2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62439D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6CC9A5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248F6C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42F487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4FAFA5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B625C3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778221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6C1899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9C8B55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3E1565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1BE1ABB2" w14:textId="77777777" w:rsidTr="006138A9">
        <w:tc>
          <w:tcPr>
            <w:tcW w:w="549" w:type="dxa"/>
          </w:tcPr>
          <w:p w14:paraId="28DCB22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8" w:type="dxa"/>
          </w:tcPr>
          <w:p w14:paraId="35AC787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34951F7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57E56D6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17A2D95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5D78BF0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7C45B3B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190BEEC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79D377B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40A5AA1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2E7BD83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6022092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14C6C55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288E353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729D1E5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10A16D1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6B278A09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3B849DF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69ABC49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7DA1F53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9489AA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1615BD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F0C63C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95B9C2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A81B27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CA81C7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85861F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1B3E43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D4668B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12B4B4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4F3E21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B35A3F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3DEF34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2BB6EEA6" w14:textId="77777777" w:rsidTr="006138A9">
        <w:tc>
          <w:tcPr>
            <w:tcW w:w="549" w:type="dxa"/>
          </w:tcPr>
          <w:p w14:paraId="66E771A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8" w:type="dxa"/>
          </w:tcPr>
          <w:p w14:paraId="5800139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15FBA43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71D7226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654F962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393FE34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62FF12D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6E82286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1254EC0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5EEED47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0B5A3EA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2022BA4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6F510A4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130574B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535B0EE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6757BB3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3487EA31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23EE27D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027ABB7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3976C11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BD94DD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A8B34F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97B28F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4DE774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5937EF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67ABA3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D4602A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1E0AF7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3B91AB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F41A85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4E388E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808502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1F7A52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77F92A58" w14:textId="77777777" w:rsidTr="006138A9">
        <w:tc>
          <w:tcPr>
            <w:tcW w:w="549" w:type="dxa"/>
          </w:tcPr>
          <w:p w14:paraId="5D301A8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8" w:type="dxa"/>
          </w:tcPr>
          <w:p w14:paraId="1976F79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04049B4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3FC569E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137B9EF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088EA62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6389DF8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3B50BC9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2360E84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57BC587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6F9BAC0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42240CC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7C0AB54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41D8A10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2EA78E7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6D12740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0AC35007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2CDA660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518928A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15EA8B0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1E37F8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F9F3F0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B42784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00C988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E43518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79A5DA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808052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6BA33B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05F7E3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A7A432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F6DE41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5D4FCF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6F832D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11663A99" w14:textId="77777777" w:rsidTr="006138A9">
        <w:tc>
          <w:tcPr>
            <w:tcW w:w="549" w:type="dxa"/>
          </w:tcPr>
          <w:p w14:paraId="01E1E1E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8" w:type="dxa"/>
          </w:tcPr>
          <w:p w14:paraId="51A5229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472C6DA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0E782B2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331CAF4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6E7CA8B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3F60FBE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06AC7FC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22AF756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40379E0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30B723F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7CEB093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5FCCE74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52D0A10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28BE390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249F615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5F0085DE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19E2B9F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2A048C3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0B84449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C48458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BA0ECE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7ACC95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AB5A2C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5330D7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297EE7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9A3FE1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358387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A7ADAD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62B1B8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ECB588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A0F975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32CF6B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28D85974" w14:textId="77777777" w:rsidTr="006138A9">
        <w:tc>
          <w:tcPr>
            <w:tcW w:w="549" w:type="dxa"/>
          </w:tcPr>
          <w:p w14:paraId="321C7DE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8" w:type="dxa"/>
          </w:tcPr>
          <w:p w14:paraId="0A15C74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0089CA0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411837F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5928259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10" w:type="dxa"/>
          </w:tcPr>
          <w:p w14:paraId="7437313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0468655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3403E05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13C161F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7CD8E33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27920A6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28A4EAB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59CCCF7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213FB41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23EBAD9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23705E2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224A2E43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0EEC90D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247CFF1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6A53DD2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E58881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569F9E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DA3FB9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6F6A07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E762D2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6AEEEB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0078E4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CEA50C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429960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A6C257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1E6FBA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552492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0CD628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1ADDFC7E" w14:textId="77777777" w:rsidTr="006138A9">
        <w:tc>
          <w:tcPr>
            <w:tcW w:w="549" w:type="dxa"/>
          </w:tcPr>
          <w:p w14:paraId="12DD89E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8" w:type="dxa"/>
          </w:tcPr>
          <w:p w14:paraId="5800E47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3548CEB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452F328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3EB1212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2C52C2E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7E0B953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1D6870D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4ABEC14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130A79D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13F1294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25C8C85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22BB1CC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7F4CEB3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44E7A74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0608CE4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1E727EFF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512C35E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281DC23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18B111F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C0A59D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42465C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361DF6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CC5722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DB8166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A416DE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B21043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CAB83A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AE6770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67248A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95AE09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E673FE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A0C219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0F22B142" w14:textId="77777777" w:rsidTr="006138A9">
        <w:tc>
          <w:tcPr>
            <w:tcW w:w="549" w:type="dxa"/>
          </w:tcPr>
          <w:p w14:paraId="297EB2E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8" w:type="dxa"/>
          </w:tcPr>
          <w:p w14:paraId="7CA1756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59228A9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1D2BEBD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3902A1C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3504CB2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13F3313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73B33FA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3E9EBAF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6A7898E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2F8E048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76513EA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25DD9E0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42045B1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3C2683E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2C9FF26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033E93D5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40F6FD0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5E55DD6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1F1B3C1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2DD145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6636E6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F905DC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06AAA1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70CAF9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CB90F5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28E747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E17D13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2C2749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9007D0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2C884A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194D23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551EEB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4F796E4E" w14:textId="77777777" w:rsidTr="006138A9">
        <w:tc>
          <w:tcPr>
            <w:tcW w:w="549" w:type="dxa"/>
          </w:tcPr>
          <w:p w14:paraId="12BA073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8" w:type="dxa"/>
          </w:tcPr>
          <w:p w14:paraId="05B331E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468E5DD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5EB38CD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292E549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716F175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4DDE53B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653DA26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088C92A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13E3CC5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2523091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4C21596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366FA34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73D7B2F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34FA3F5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7F5DE07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5E5F0B06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008972F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340D26C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77959C7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19FCC4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A6D39A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B4A994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7E74D8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F95FCE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812E62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813682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B8EF32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612592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8F4476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E64006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D703BE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5B791B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7C22F9D0" w14:textId="77777777" w:rsidTr="006138A9">
        <w:tc>
          <w:tcPr>
            <w:tcW w:w="549" w:type="dxa"/>
          </w:tcPr>
          <w:p w14:paraId="7F36DFA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8" w:type="dxa"/>
          </w:tcPr>
          <w:p w14:paraId="77303C1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107E914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629836E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047FC55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34C1762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7CDE020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6C00437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612941B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06CACB5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2CE7BBD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511E353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0EED7B5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47A0AC9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7A08FDD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45FFA9D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2221DBCA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64D68B8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15B4D57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556E6BB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826D60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4EE554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64AC3E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D4B8FA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6D3B03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21D36E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5D029D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DE1E27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DBAB6E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F072EB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19896F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5E49C8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E55F19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4B874B65" w14:textId="77777777" w:rsidTr="006138A9">
        <w:tc>
          <w:tcPr>
            <w:tcW w:w="549" w:type="dxa"/>
          </w:tcPr>
          <w:p w14:paraId="07F9952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8" w:type="dxa"/>
          </w:tcPr>
          <w:p w14:paraId="0CDA9DB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39E0DB4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024836C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276AA59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41608E1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3038FF1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159E3E2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72C2B46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3290D97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79F4A89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39F47F5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73C55E4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75BFB74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56E793E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0D2124A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3CF02CD3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206434C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3F49EDB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1231788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EE8730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690E98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05B6C5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E57CAA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9053C7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8EE398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6222A7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7C3EE1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291166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314926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74078D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5F68B5A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F0CE66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7E7EA500" w14:textId="77777777" w:rsidTr="006138A9">
        <w:tc>
          <w:tcPr>
            <w:tcW w:w="549" w:type="dxa"/>
          </w:tcPr>
          <w:p w14:paraId="64F47CF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8" w:type="dxa"/>
          </w:tcPr>
          <w:p w14:paraId="126AA8D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20DBC77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2A7F58F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72852C4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79FFDE1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67F79A1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20DED20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1F2B109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5228020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63E21DC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749D62A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54DFDC6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2B16DC3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270C104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14D9B19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3126096C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5B8CE53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47423E5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535E041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8CEDB1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2B6DB5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C08787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C03008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A37AF2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546636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86014C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90AC0A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C8DD21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7C2574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59B609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4D4546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0B5951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5CFBCDEA" w14:textId="77777777" w:rsidTr="006138A9">
        <w:tc>
          <w:tcPr>
            <w:tcW w:w="549" w:type="dxa"/>
          </w:tcPr>
          <w:p w14:paraId="1B443B3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8" w:type="dxa"/>
          </w:tcPr>
          <w:p w14:paraId="239FA12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3DF6A45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3A0BA6E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6C0DB03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642E542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605FF15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5BB9F91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0895851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6B20148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48C16AD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3F2BCF0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0EB2507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69C5573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52AFDA7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3F5C8F8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3C3360AB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431784F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7854D45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6962FAE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541308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0EFDAD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CAAAF7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B192CE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FDCC81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3F4E99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5B2361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0D23AA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C2186F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7D4296B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E9C585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EF629F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4B4EEA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111B4F95" w14:textId="77777777" w:rsidTr="006138A9">
        <w:tc>
          <w:tcPr>
            <w:tcW w:w="549" w:type="dxa"/>
          </w:tcPr>
          <w:p w14:paraId="1A10533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8" w:type="dxa"/>
          </w:tcPr>
          <w:p w14:paraId="7F554FA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06DE92D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23B4FB3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7116E33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1616CA1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035273A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0D2B64C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54C4CB2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1CB1965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63E208C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7176E34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78FADF3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4B52C7C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41C6118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669C314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47E75A1C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5FC8B1F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31610CD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7336EE2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D5AF15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4E844E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DA75C2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886498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2BEF32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283848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A7FE29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724B9D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6FB023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68FE06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8A097A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3E6990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089F77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4CDF04FC" w14:textId="77777777" w:rsidTr="006138A9">
        <w:tc>
          <w:tcPr>
            <w:tcW w:w="549" w:type="dxa"/>
          </w:tcPr>
          <w:p w14:paraId="1178C1C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8" w:type="dxa"/>
          </w:tcPr>
          <w:p w14:paraId="60AE0FC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</w:tcPr>
          <w:p w14:paraId="109F6EF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4F713D1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</w:tcPr>
          <w:p w14:paraId="4640A39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38D1DA9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</w:tcPr>
          <w:p w14:paraId="65BA8AF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40714E7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</w:tcPr>
          <w:p w14:paraId="55DB077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4EB92AF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</w:tcPr>
          <w:p w14:paraId="30B2AA1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</w:tcPr>
          <w:p w14:paraId="5134E69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</w:tcPr>
          <w:p w14:paraId="757EF05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</w:tcPr>
          <w:p w14:paraId="21D7305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</w:tcPr>
          <w:p w14:paraId="57675C3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</w:tcPr>
          <w:p w14:paraId="334A850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1AE90227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22CF196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65+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7E0E66C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098A8CE9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34C703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67A5A0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EDBB8A5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E477B7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07576E4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402F480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0EC10E2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B50991A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E0E3C9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337EF1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63DAE9B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6045E8F3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7506A4B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138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67.5</w:t>
            </w:r>
          </w:p>
        </w:tc>
      </w:tr>
      <w:tr w:rsidR="006138A9" w:rsidRPr="006138A9" w14:paraId="6D30EA00" w14:textId="77777777" w:rsidTr="006138A9">
        <w:tc>
          <w:tcPr>
            <w:tcW w:w="549" w:type="dxa"/>
            <w:tcBorders>
              <w:left w:val="nil"/>
              <w:right w:val="nil"/>
            </w:tcBorders>
            <w:shd w:val="clear" w:color="auto" w:fill="C0C0C0"/>
          </w:tcPr>
          <w:p w14:paraId="780462B6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C0C0C0"/>
          </w:tcPr>
          <w:p w14:paraId="5B4BEA6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0C0C0"/>
          </w:tcPr>
          <w:p w14:paraId="0A6D8A28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2759CE3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3B49CC5B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931A2DE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2041D00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7D66AE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17D09310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37A6908C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C042C7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172BAB41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155890D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4977602F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0C0C0"/>
          </w:tcPr>
          <w:p w14:paraId="03B1C837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C0C0C0"/>
          </w:tcPr>
          <w:p w14:paraId="565A9C74" w14:textId="77777777" w:rsidR="006138A9" w:rsidRPr="006138A9" w:rsidRDefault="006138A9" w:rsidP="006138A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088DF65E" w14:textId="77777777" w:rsidR="006138A9" w:rsidRPr="006138A9" w:rsidRDefault="006138A9" w:rsidP="006138A9">
      <w:pPr>
        <w:rPr>
          <w:rFonts w:ascii="Arial" w:hAnsi="Arial" w:cs="Arial"/>
        </w:rPr>
      </w:pPr>
    </w:p>
    <w:sectPr w:rsidR="006138A9" w:rsidRPr="006138A9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2224" w14:textId="77777777" w:rsidR="00CD3CBB" w:rsidRDefault="00CD3CBB" w:rsidP="0011711F">
      <w:pPr>
        <w:spacing w:after="0" w:line="240" w:lineRule="auto"/>
      </w:pPr>
      <w:r>
        <w:separator/>
      </w:r>
    </w:p>
  </w:endnote>
  <w:endnote w:type="continuationSeparator" w:id="0">
    <w:p w14:paraId="3A47F127" w14:textId="77777777" w:rsidR="00CD3CBB" w:rsidRDefault="00CD3CBB" w:rsidP="0011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01D2" w14:textId="77777777" w:rsidR="00CD3CBB" w:rsidRDefault="00CD3CBB" w:rsidP="0011711F">
      <w:pPr>
        <w:spacing w:after="0" w:line="240" w:lineRule="auto"/>
      </w:pPr>
      <w:r>
        <w:separator/>
      </w:r>
    </w:p>
  </w:footnote>
  <w:footnote w:type="continuationSeparator" w:id="0">
    <w:p w14:paraId="34D1C675" w14:textId="77777777" w:rsidR="00CD3CBB" w:rsidRDefault="00CD3CBB" w:rsidP="0011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F00D" w14:textId="5FF68BF0" w:rsidR="001620EE" w:rsidRDefault="00162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5281" w14:textId="10636BD4" w:rsidR="001620EE" w:rsidRDefault="001620EE" w:rsidP="00FC69F5">
    <w:pPr>
      <w:pStyle w:val="Header"/>
      <w:jc w:val="center"/>
    </w:pPr>
    <w:r>
      <w:t>OFFICIAL SENSITIVE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15C2" w14:textId="4403C703" w:rsidR="001620EE" w:rsidRDefault="00162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9CA"/>
    <w:multiLevelType w:val="hybridMultilevel"/>
    <w:tmpl w:val="7E0AC434"/>
    <w:lvl w:ilvl="0" w:tplc="48E865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29F"/>
    <w:multiLevelType w:val="hybridMultilevel"/>
    <w:tmpl w:val="A8C8AF9C"/>
    <w:lvl w:ilvl="0" w:tplc="0D40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437E"/>
    <w:multiLevelType w:val="multilevel"/>
    <w:tmpl w:val="E2AA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05277"/>
    <w:multiLevelType w:val="hybridMultilevel"/>
    <w:tmpl w:val="B7B2B32E"/>
    <w:lvl w:ilvl="0" w:tplc="0D40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67F5"/>
    <w:multiLevelType w:val="multilevel"/>
    <w:tmpl w:val="E59C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0562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C64428"/>
    <w:multiLevelType w:val="hybridMultilevel"/>
    <w:tmpl w:val="D8D4E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59EA088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C18FE"/>
    <w:multiLevelType w:val="hybridMultilevel"/>
    <w:tmpl w:val="E37A7978"/>
    <w:lvl w:ilvl="0" w:tplc="0D40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90F81"/>
    <w:multiLevelType w:val="hybridMultilevel"/>
    <w:tmpl w:val="EEF0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7F2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D46BE9"/>
    <w:multiLevelType w:val="hybridMultilevel"/>
    <w:tmpl w:val="53E29A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273C9FA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61DFB"/>
    <w:multiLevelType w:val="hybridMultilevel"/>
    <w:tmpl w:val="0E94AC42"/>
    <w:lvl w:ilvl="0" w:tplc="1FE866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9556E"/>
    <w:multiLevelType w:val="multilevel"/>
    <w:tmpl w:val="293E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EE1C7D"/>
    <w:multiLevelType w:val="hybridMultilevel"/>
    <w:tmpl w:val="2C58AB48"/>
    <w:lvl w:ilvl="0" w:tplc="7ED8B7D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5DF5F2C"/>
    <w:multiLevelType w:val="hybridMultilevel"/>
    <w:tmpl w:val="126CFD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A43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423187"/>
    <w:multiLevelType w:val="multilevel"/>
    <w:tmpl w:val="935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1223387"/>
    <w:docVar w:name="CLIENTID" w:val="4762"/>
    <w:docVar w:name="COMPANYID" w:val="2122615613"/>
    <w:docVar w:name="DOCID" w:val=" "/>
    <w:docVar w:name="EDITION" w:val="FM"/>
    <w:docVar w:name="FILEID" w:val="279617"/>
    <w:docVar w:name="SERIALNO" w:val="11311"/>
  </w:docVars>
  <w:rsids>
    <w:rsidRoot w:val="0011711F"/>
    <w:rsid w:val="000124EC"/>
    <w:rsid w:val="000150B4"/>
    <w:rsid w:val="00022FF7"/>
    <w:rsid w:val="000266BC"/>
    <w:rsid w:val="000332C4"/>
    <w:rsid w:val="00055EAA"/>
    <w:rsid w:val="000638FD"/>
    <w:rsid w:val="000667B1"/>
    <w:rsid w:val="000762D7"/>
    <w:rsid w:val="00084D16"/>
    <w:rsid w:val="00094190"/>
    <w:rsid w:val="000A6D6E"/>
    <w:rsid w:val="000B4D4E"/>
    <w:rsid w:val="000C01EC"/>
    <w:rsid w:val="000E04A3"/>
    <w:rsid w:val="00116482"/>
    <w:rsid w:val="00116B4B"/>
    <w:rsid w:val="0011711F"/>
    <w:rsid w:val="001620EE"/>
    <w:rsid w:val="00165DB2"/>
    <w:rsid w:val="001857EE"/>
    <w:rsid w:val="001F28B7"/>
    <w:rsid w:val="001F3F15"/>
    <w:rsid w:val="002069E5"/>
    <w:rsid w:val="00216F76"/>
    <w:rsid w:val="00236E72"/>
    <w:rsid w:val="00246E47"/>
    <w:rsid w:val="00267C77"/>
    <w:rsid w:val="002A7A43"/>
    <w:rsid w:val="002F419B"/>
    <w:rsid w:val="00333F73"/>
    <w:rsid w:val="00344368"/>
    <w:rsid w:val="00367E36"/>
    <w:rsid w:val="003719D4"/>
    <w:rsid w:val="003A05EA"/>
    <w:rsid w:val="003F4201"/>
    <w:rsid w:val="004070F3"/>
    <w:rsid w:val="0043301A"/>
    <w:rsid w:val="00446B23"/>
    <w:rsid w:val="004A68C8"/>
    <w:rsid w:val="004D0AD3"/>
    <w:rsid w:val="004E34F9"/>
    <w:rsid w:val="005035C5"/>
    <w:rsid w:val="00572F3B"/>
    <w:rsid w:val="005D7EFA"/>
    <w:rsid w:val="005E6286"/>
    <w:rsid w:val="005F1700"/>
    <w:rsid w:val="006138A9"/>
    <w:rsid w:val="006314E9"/>
    <w:rsid w:val="006404D4"/>
    <w:rsid w:val="00680863"/>
    <w:rsid w:val="0069714B"/>
    <w:rsid w:val="006B1B34"/>
    <w:rsid w:val="006C016E"/>
    <w:rsid w:val="006D3ADA"/>
    <w:rsid w:val="00701260"/>
    <w:rsid w:val="007242DE"/>
    <w:rsid w:val="00725CD2"/>
    <w:rsid w:val="007840AA"/>
    <w:rsid w:val="007B17D6"/>
    <w:rsid w:val="007D51DD"/>
    <w:rsid w:val="007F08AC"/>
    <w:rsid w:val="00825F5D"/>
    <w:rsid w:val="00846A25"/>
    <w:rsid w:val="00850F01"/>
    <w:rsid w:val="00852245"/>
    <w:rsid w:val="00870EC7"/>
    <w:rsid w:val="008D289B"/>
    <w:rsid w:val="008D7876"/>
    <w:rsid w:val="009215B2"/>
    <w:rsid w:val="00951AB0"/>
    <w:rsid w:val="00983001"/>
    <w:rsid w:val="0098480E"/>
    <w:rsid w:val="00985B8A"/>
    <w:rsid w:val="009911E8"/>
    <w:rsid w:val="009949EF"/>
    <w:rsid w:val="00996678"/>
    <w:rsid w:val="009A5F24"/>
    <w:rsid w:val="009A77E0"/>
    <w:rsid w:val="009C47A1"/>
    <w:rsid w:val="009F75EB"/>
    <w:rsid w:val="00A162F9"/>
    <w:rsid w:val="00A20F8B"/>
    <w:rsid w:val="00A73B2B"/>
    <w:rsid w:val="00A91668"/>
    <w:rsid w:val="00AB11C3"/>
    <w:rsid w:val="00AC108C"/>
    <w:rsid w:val="00AF6F20"/>
    <w:rsid w:val="00B22EAD"/>
    <w:rsid w:val="00B74D8E"/>
    <w:rsid w:val="00B9646A"/>
    <w:rsid w:val="00BA2A21"/>
    <w:rsid w:val="00BA3F14"/>
    <w:rsid w:val="00C052A1"/>
    <w:rsid w:val="00C306AD"/>
    <w:rsid w:val="00C41885"/>
    <w:rsid w:val="00C45939"/>
    <w:rsid w:val="00C53B99"/>
    <w:rsid w:val="00C72CA4"/>
    <w:rsid w:val="00C83167"/>
    <w:rsid w:val="00C855A4"/>
    <w:rsid w:val="00C92844"/>
    <w:rsid w:val="00C95987"/>
    <w:rsid w:val="00C96340"/>
    <w:rsid w:val="00CA1BB3"/>
    <w:rsid w:val="00CB26EB"/>
    <w:rsid w:val="00CD1D3A"/>
    <w:rsid w:val="00CD3CBB"/>
    <w:rsid w:val="00D00F84"/>
    <w:rsid w:val="00D074BF"/>
    <w:rsid w:val="00D1318A"/>
    <w:rsid w:val="00D206AC"/>
    <w:rsid w:val="00D53BCC"/>
    <w:rsid w:val="00D679A2"/>
    <w:rsid w:val="00D74798"/>
    <w:rsid w:val="00D765C6"/>
    <w:rsid w:val="00D842B9"/>
    <w:rsid w:val="00DD4FE2"/>
    <w:rsid w:val="00DE52EC"/>
    <w:rsid w:val="00DF75BF"/>
    <w:rsid w:val="00E2149E"/>
    <w:rsid w:val="00E22C81"/>
    <w:rsid w:val="00E34F84"/>
    <w:rsid w:val="00E7173C"/>
    <w:rsid w:val="00E82522"/>
    <w:rsid w:val="00E90850"/>
    <w:rsid w:val="00EA0424"/>
    <w:rsid w:val="00EA37DF"/>
    <w:rsid w:val="00EC1330"/>
    <w:rsid w:val="00EE76F7"/>
    <w:rsid w:val="00F3078F"/>
    <w:rsid w:val="00F36874"/>
    <w:rsid w:val="00FA2287"/>
    <w:rsid w:val="00FC69F5"/>
    <w:rsid w:val="00FE05F2"/>
    <w:rsid w:val="00FF2B3C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5059D"/>
  <w15:chartTrackingRefBased/>
  <w15:docId w15:val="{31855C7D-1A17-4822-97BE-55B67623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1F"/>
  </w:style>
  <w:style w:type="paragraph" w:styleId="Footer">
    <w:name w:val="footer"/>
    <w:basedOn w:val="Normal"/>
    <w:link w:val="FooterChar"/>
    <w:uiPriority w:val="99"/>
    <w:unhideWhenUsed/>
    <w:rsid w:val="00117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1F"/>
  </w:style>
  <w:style w:type="character" w:styleId="CommentReference">
    <w:name w:val="annotation reference"/>
    <w:basedOn w:val="DefaultParagraphFont"/>
    <w:uiPriority w:val="99"/>
    <w:semiHidden/>
    <w:unhideWhenUsed/>
    <w:rsid w:val="00FC69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C77"/>
    <w:pPr>
      <w:spacing w:after="0" w:line="280" w:lineRule="exact"/>
      <w:ind w:left="720"/>
    </w:pPr>
    <w:rPr>
      <w:rFonts w:ascii="Arial" w:eastAsia="Times New Roman" w:hAnsi="Arial" w:cs="Times New Roman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6138A9"/>
  </w:style>
  <w:style w:type="table" w:customStyle="1" w:styleId="TableGrid1">
    <w:name w:val="Table Grid1"/>
    <w:basedOn w:val="TableNormal"/>
    <w:next w:val="TableGrid"/>
    <w:uiPriority w:val="59"/>
    <w:rsid w:val="00613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138A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C831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E85ABF60B468BC56FE199818668" ma:contentTypeVersion="4" ma:contentTypeDescription="Create a new document." ma:contentTypeScope="" ma:versionID="f47cfdf849e6ae04e72b8bf55432fc19">
  <xsd:schema xmlns:xsd="http://www.w3.org/2001/XMLSchema" xmlns:xs="http://www.w3.org/2001/XMLSchema" xmlns:p="http://schemas.microsoft.com/office/2006/metadata/properties" xmlns:ns3="566da5a4-d48f-40cf-a1d2-d16f98b04b10" targetNamespace="http://schemas.microsoft.com/office/2006/metadata/properties" ma:root="true" ma:fieldsID="3cc786e6959abde822c5d3fe741b4a01" ns3:_="">
    <xsd:import namespace="566da5a4-d48f-40cf-a1d2-d16f98b04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5a4-d48f-40cf-a1d2-d16f98b0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52094-5D95-4EEA-985F-D1EA41942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0DA70-BE2B-4199-82A0-EE8D8E2CC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AF3F0C-E656-4717-8648-28C17984A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a5a4-d48f-40cf-a1d2-d16f98b04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Susanne</dc:creator>
  <cp:keywords>Z1915698</cp:keywords>
  <dc:description/>
  <cp:lastModifiedBy>Bryant, David</cp:lastModifiedBy>
  <cp:revision>2</cp:revision>
  <dcterms:created xsi:type="dcterms:W3CDTF">2020-09-10T15:22:00Z</dcterms:created>
  <dcterms:modified xsi:type="dcterms:W3CDTF">2020-09-10T15:22:00Z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2122615613</vt:i4>
  </property>
  <property fmtid="{D5CDD505-2E9C-101B-9397-08002B2CF9AE}" pid="4" name="SERIALNO">
    <vt:i4>11311</vt:i4>
  </property>
  <property fmtid="{D5CDD505-2E9C-101B-9397-08002B2CF9AE}" pid="5" name="EDITION">
    <vt:lpwstr>FM</vt:lpwstr>
  </property>
  <property fmtid="{D5CDD505-2E9C-101B-9397-08002B2CF9AE}" pid="6" name="CLIENTID">
    <vt:i4>4762</vt:i4>
  </property>
  <property fmtid="{D5CDD505-2E9C-101B-9397-08002B2CF9AE}" pid="7" name="FILEID">
    <vt:i4>279617</vt:i4>
  </property>
  <property fmtid="{D5CDD505-2E9C-101B-9397-08002B2CF9AE}" pid="8" name="ASSOCID">
    <vt:i4>1223387</vt:i4>
  </property>
  <property fmtid="{D5CDD505-2E9C-101B-9397-08002B2CF9AE}" pid="9" name="ContentTypeId">
    <vt:lpwstr>0x0101003750DE85ABF60B468BC56FE199818668</vt:lpwstr>
  </property>
  <property fmtid="{D5CDD505-2E9C-101B-9397-08002B2CF9AE}" pid="10" name="_dlc_DocIdItemGuid">
    <vt:lpwstr>b9ffc604-81fb-463a-ac9c-a0430d45695f</vt:lpwstr>
  </property>
</Properties>
</file>