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FAE20" w14:textId="77777777" w:rsidR="009E09CD" w:rsidRPr="005841C7" w:rsidRDefault="00AE3F92" w:rsidP="00AE3F92">
      <w:pPr>
        <w:jc w:val="both"/>
        <w:rPr>
          <w:rFonts w:ascii="Arial" w:hAnsi="Arial" w:cs="Arial"/>
        </w:rPr>
      </w:pPr>
      <w:bookmarkStart w:id="0" w:name="_GoBack"/>
      <w:bookmarkEnd w:id="0"/>
      <w:r>
        <w:rPr>
          <w:rFonts w:ascii="Arial" w:hAnsi="Arial" w:cs="Arial"/>
        </w:rPr>
        <w:t xml:space="preserve"> </w:t>
      </w:r>
    </w:p>
    <w:tbl>
      <w:tblPr>
        <w:tblStyle w:val="TableGrid"/>
        <w:tblW w:w="14885" w:type="dxa"/>
        <w:tblInd w:w="-431" w:type="dxa"/>
        <w:tblLook w:val="04A0" w:firstRow="1" w:lastRow="0" w:firstColumn="1" w:lastColumn="0" w:noHBand="0" w:noVBand="1"/>
      </w:tblPr>
      <w:tblGrid>
        <w:gridCol w:w="3873"/>
        <w:gridCol w:w="2207"/>
        <w:gridCol w:w="8805"/>
      </w:tblGrid>
      <w:tr w:rsidR="009E09CD" w:rsidRPr="0051274F" w14:paraId="4CB69CA0" w14:textId="77777777" w:rsidTr="00A54F60">
        <w:trPr>
          <w:trHeight w:val="598"/>
        </w:trPr>
        <w:tc>
          <w:tcPr>
            <w:tcW w:w="14885" w:type="dxa"/>
            <w:gridSpan w:val="3"/>
            <w:shd w:val="clear" w:color="auto" w:fill="BFBFBF" w:themeFill="background1" w:themeFillShade="BF"/>
          </w:tcPr>
          <w:p w14:paraId="63E7BFD1" w14:textId="77777777" w:rsidR="009E09CD" w:rsidRPr="003A7F45" w:rsidRDefault="00DC7111" w:rsidP="009E09CD">
            <w:pPr>
              <w:jc w:val="center"/>
              <w:rPr>
                <w:rFonts w:ascii="Arial" w:hAnsi="Arial" w:cs="Arial"/>
              </w:rPr>
            </w:pPr>
            <w:r>
              <w:rPr>
                <w:rFonts w:ascii="Arial" w:hAnsi="Arial" w:cs="Arial"/>
              </w:rPr>
              <w:t>National Agreement QA – Support Material for Tus only</w:t>
            </w:r>
          </w:p>
        </w:tc>
      </w:tr>
      <w:tr w:rsidR="009E09CD" w:rsidRPr="0051274F" w14:paraId="4B7915F6" w14:textId="77777777" w:rsidTr="00A54F60">
        <w:trPr>
          <w:trHeight w:val="2010"/>
        </w:trPr>
        <w:tc>
          <w:tcPr>
            <w:tcW w:w="0" w:type="auto"/>
          </w:tcPr>
          <w:p w14:paraId="14A38EF4" w14:textId="77777777" w:rsidR="009E09CD" w:rsidRDefault="00DC7111" w:rsidP="00380A53">
            <w:pPr>
              <w:rPr>
                <w:rFonts w:ascii="Arial" w:hAnsi="Arial" w:cs="Arial"/>
              </w:rPr>
            </w:pPr>
            <w:r>
              <w:rPr>
                <w:rFonts w:ascii="Arial" w:hAnsi="Arial" w:cs="Arial"/>
              </w:rPr>
              <w:t>Pension</w:t>
            </w:r>
          </w:p>
        </w:tc>
        <w:tc>
          <w:tcPr>
            <w:tcW w:w="2207" w:type="dxa"/>
          </w:tcPr>
          <w:p w14:paraId="61AFDE89" w14:textId="77777777" w:rsidR="009E09CD" w:rsidRPr="009E09CD" w:rsidRDefault="00DC7111" w:rsidP="009E09CD">
            <w:pPr>
              <w:rPr>
                <w:rFonts w:ascii="Arial" w:hAnsi="Arial" w:cs="Arial"/>
                <w:b/>
              </w:rPr>
            </w:pPr>
            <w:r>
              <w:rPr>
                <w:rFonts w:ascii="Arial" w:hAnsi="Arial" w:cs="Arial"/>
                <w:b/>
              </w:rPr>
              <w:t>Under what ‘exceptional circumstances’ may an employee not be eligible for LGPS &amp; CSPS?</w:t>
            </w:r>
          </w:p>
          <w:p w14:paraId="32F91AF1" w14:textId="77777777" w:rsidR="009E09CD" w:rsidRDefault="009E09CD" w:rsidP="00380A53">
            <w:pPr>
              <w:rPr>
                <w:rFonts w:ascii="Arial" w:hAnsi="Arial" w:cs="Arial"/>
              </w:rPr>
            </w:pPr>
          </w:p>
        </w:tc>
        <w:tc>
          <w:tcPr>
            <w:tcW w:w="8805" w:type="dxa"/>
          </w:tcPr>
          <w:p w14:paraId="198B5BFB" w14:textId="77777777" w:rsidR="009E09CD" w:rsidRPr="00063F8B" w:rsidRDefault="00DC7111" w:rsidP="00380A53">
            <w:pPr>
              <w:rPr>
                <w:rFonts w:ascii="Arial" w:hAnsi="Arial" w:cs="Arial"/>
              </w:rPr>
            </w:pPr>
            <w:r>
              <w:rPr>
                <w:rFonts w:ascii="Arial" w:hAnsi="Arial" w:cs="Arial"/>
              </w:rPr>
              <w:t>Employees will only be excluded from the LGPS &amp; CSPS in exceptional circumstances.  Such exceptional circumstances could include</w:t>
            </w:r>
            <w:r w:rsidR="00A34BCF">
              <w:rPr>
                <w:rFonts w:ascii="Arial" w:hAnsi="Arial" w:cs="Arial"/>
              </w:rPr>
              <w:t xml:space="preserve"> </w:t>
            </w:r>
            <w:r>
              <w:rPr>
                <w:rFonts w:ascii="Arial" w:hAnsi="Arial" w:cs="Arial"/>
              </w:rPr>
              <w:t>where a high earning employee was offered the choice, by the CRC in respect of a portion of their salary, to receive such sum as either salary</w:t>
            </w:r>
            <w:r w:rsidR="00A34BCF">
              <w:rPr>
                <w:rFonts w:ascii="Arial" w:hAnsi="Arial" w:cs="Arial"/>
              </w:rPr>
              <w:t xml:space="preserve"> or pension, and chose salary. </w:t>
            </w:r>
            <w:r>
              <w:rPr>
                <w:rFonts w:ascii="Arial" w:hAnsi="Arial" w:cs="Arial"/>
              </w:rPr>
              <w:t xml:space="preserve"> In such a situation to allow the employee to join the LGPS in respect of their elected higher salary would be viewed as an unjust enrichment.  In such circumstances HMPPS (NPS) will ensure that the pension provisions which applied prior to transfer will be offered to the employee post transfer and will not be less than the </w:t>
            </w:r>
            <w:r w:rsidRPr="00063F8B">
              <w:rPr>
                <w:rFonts w:ascii="Arial" w:hAnsi="Arial" w:cs="Arial"/>
              </w:rPr>
              <w:t>s</w:t>
            </w:r>
            <w:r w:rsidR="00EF0C36" w:rsidRPr="00063F8B">
              <w:rPr>
                <w:rFonts w:ascii="Arial" w:hAnsi="Arial" w:cs="Arial"/>
              </w:rPr>
              <w:t>ta</w:t>
            </w:r>
            <w:r w:rsidR="00A26577" w:rsidRPr="00063F8B">
              <w:rPr>
                <w:rFonts w:ascii="Arial" w:hAnsi="Arial" w:cs="Arial"/>
              </w:rPr>
              <w:t>tutory auto enrolment minimum.</w:t>
            </w:r>
          </w:p>
          <w:p w14:paraId="12546A27" w14:textId="77777777" w:rsidR="00A26577" w:rsidRPr="003A7F45" w:rsidRDefault="00A26577" w:rsidP="00380A53">
            <w:pPr>
              <w:rPr>
                <w:rFonts w:ascii="Arial" w:hAnsi="Arial" w:cs="Arial"/>
              </w:rPr>
            </w:pPr>
            <w:r w:rsidRPr="00063F8B">
              <w:rPr>
                <w:rFonts w:ascii="Arial" w:hAnsi="Arial" w:cs="Arial"/>
              </w:rPr>
              <w:t>Further guidance can be obtained via</w:t>
            </w:r>
            <w:r w:rsidR="00063F8B" w:rsidRPr="00063F8B">
              <w:rPr>
                <w:rFonts w:ascii="Arial" w:hAnsi="Arial" w:cs="Arial"/>
              </w:rPr>
              <w:t xml:space="preserve"> </w:t>
            </w:r>
            <w:r w:rsidR="00063F8B" w:rsidRPr="00063F8B">
              <w:rPr>
                <w:rFonts w:ascii="Arial" w:hAnsi="Arial" w:cs="Arial"/>
                <w:bCs/>
              </w:rPr>
              <w:t>2013 LGPS Regulations</w:t>
            </w:r>
            <w:r w:rsidR="00063F8B" w:rsidRPr="00063F8B">
              <w:rPr>
                <w:rFonts w:ascii="Arial" w:hAnsi="Arial" w:cs="Arial"/>
                <w:bCs/>
                <w:i/>
                <w:iCs/>
              </w:rPr>
              <w:t xml:space="preserve"> 3 (1)(b) and </w:t>
            </w:r>
            <w:r w:rsidR="00063F8B" w:rsidRPr="00063F8B">
              <w:rPr>
                <w:rFonts w:ascii="Arial" w:hAnsi="Arial" w:cs="Arial"/>
                <w:bCs/>
              </w:rPr>
              <w:t xml:space="preserve">Civil Service Pension Alpha Scheme </w:t>
            </w:r>
            <w:r w:rsidR="00063F8B" w:rsidRPr="00063F8B">
              <w:rPr>
                <w:rFonts w:ascii="Arial" w:hAnsi="Arial" w:cs="Arial"/>
              </w:rPr>
              <w:t>Regulation 14</w:t>
            </w:r>
            <w:r w:rsidR="00063F8B" w:rsidRPr="00063F8B">
              <w:rPr>
                <w:rFonts w:ascii="Arial" w:hAnsi="Arial" w:cs="Arial"/>
                <w:i/>
              </w:rPr>
              <w:t>(3)</w:t>
            </w:r>
          </w:p>
        </w:tc>
      </w:tr>
      <w:tr w:rsidR="009E09CD" w:rsidRPr="0051274F" w14:paraId="31EFC560" w14:textId="77777777" w:rsidTr="00A54F60">
        <w:trPr>
          <w:trHeight w:val="2010"/>
        </w:trPr>
        <w:tc>
          <w:tcPr>
            <w:tcW w:w="0" w:type="auto"/>
          </w:tcPr>
          <w:p w14:paraId="7F4C5641" w14:textId="77777777" w:rsidR="009E09CD" w:rsidRDefault="00DC7111" w:rsidP="00380A53">
            <w:pPr>
              <w:rPr>
                <w:rFonts w:ascii="Arial" w:hAnsi="Arial" w:cs="Arial"/>
              </w:rPr>
            </w:pPr>
            <w:r>
              <w:rPr>
                <w:rFonts w:ascii="Arial" w:hAnsi="Arial" w:cs="Arial"/>
              </w:rPr>
              <w:t>Redundancy</w:t>
            </w:r>
          </w:p>
        </w:tc>
        <w:tc>
          <w:tcPr>
            <w:tcW w:w="2207" w:type="dxa"/>
          </w:tcPr>
          <w:p w14:paraId="2E95FE4A" w14:textId="77777777" w:rsidR="009E09CD" w:rsidRPr="009E09CD" w:rsidRDefault="00DC7111" w:rsidP="009E09CD">
            <w:pPr>
              <w:rPr>
                <w:rFonts w:ascii="Arial" w:hAnsi="Arial" w:cs="Arial"/>
                <w:b/>
              </w:rPr>
            </w:pPr>
            <w:r>
              <w:rPr>
                <w:rFonts w:ascii="Arial" w:hAnsi="Arial" w:cs="Arial"/>
                <w:b/>
              </w:rPr>
              <w:t>Will redundancy be offered to all grades?</w:t>
            </w:r>
          </w:p>
          <w:p w14:paraId="4B492E54" w14:textId="77777777" w:rsidR="009E09CD" w:rsidRDefault="009E09CD" w:rsidP="00380A53">
            <w:pPr>
              <w:rPr>
                <w:rFonts w:ascii="Arial" w:hAnsi="Arial" w:cs="Arial"/>
              </w:rPr>
            </w:pPr>
          </w:p>
        </w:tc>
        <w:tc>
          <w:tcPr>
            <w:tcW w:w="8805" w:type="dxa"/>
            <w:shd w:val="clear" w:color="auto" w:fill="auto"/>
          </w:tcPr>
          <w:p w14:paraId="5183375D" w14:textId="77777777" w:rsidR="009E09CD" w:rsidRPr="003A7F45" w:rsidRDefault="00DC7111" w:rsidP="00380A53">
            <w:pPr>
              <w:rPr>
                <w:rFonts w:ascii="Arial" w:hAnsi="Arial" w:cs="Arial"/>
              </w:rPr>
            </w:pPr>
            <w:r>
              <w:rPr>
                <w:rFonts w:ascii="Arial" w:hAnsi="Arial" w:cs="Arial"/>
              </w:rPr>
              <w:t>There may be a targeted scheme for a limited number of employees to exit on voluntary redundancy terms. Current data suggests this scheme will be primarily targeted towards senior leadership and corporate services roles. The probation service will be subject to significant demand in future years and our primary focus is on retaining and adding to the probation workforce.</w:t>
            </w:r>
          </w:p>
        </w:tc>
      </w:tr>
      <w:tr w:rsidR="009E09CD" w:rsidRPr="0051274F" w14:paraId="292C7865" w14:textId="77777777" w:rsidTr="00A54F60">
        <w:trPr>
          <w:trHeight w:val="2010"/>
        </w:trPr>
        <w:tc>
          <w:tcPr>
            <w:tcW w:w="0" w:type="auto"/>
          </w:tcPr>
          <w:p w14:paraId="5673BE81" w14:textId="77777777" w:rsidR="009E09CD" w:rsidRDefault="00DC7111" w:rsidP="00380A53">
            <w:pPr>
              <w:rPr>
                <w:rFonts w:ascii="Arial" w:hAnsi="Arial" w:cs="Arial"/>
              </w:rPr>
            </w:pPr>
            <w:r>
              <w:rPr>
                <w:rFonts w:ascii="Arial" w:hAnsi="Arial" w:cs="Arial"/>
              </w:rPr>
              <w:t>Trans</w:t>
            </w:r>
            <w:r w:rsidR="008B20DF">
              <w:rPr>
                <w:rFonts w:ascii="Arial" w:hAnsi="Arial" w:cs="Arial"/>
              </w:rPr>
              <w:t>fer Me</w:t>
            </w:r>
            <w:r>
              <w:rPr>
                <w:rFonts w:ascii="Arial" w:hAnsi="Arial" w:cs="Arial"/>
              </w:rPr>
              <w:t>chanism</w:t>
            </w:r>
          </w:p>
        </w:tc>
        <w:tc>
          <w:tcPr>
            <w:tcW w:w="2207" w:type="dxa"/>
          </w:tcPr>
          <w:p w14:paraId="31603168" w14:textId="77777777" w:rsidR="009E09CD" w:rsidRPr="009E09CD" w:rsidRDefault="008B20DF" w:rsidP="009E09CD">
            <w:pPr>
              <w:rPr>
                <w:rFonts w:ascii="Arial" w:hAnsi="Arial" w:cs="Arial"/>
                <w:b/>
              </w:rPr>
            </w:pPr>
            <w:r>
              <w:rPr>
                <w:rFonts w:ascii="Arial" w:hAnsi="Arial" w:cs="Arial"/>
                <w:b/>
              </w:rPr>
              <w:t>Why is a staff transfer scheme being used to transfer staff from current providers to NPS but TUPE being used to transfer staff to Dynamic Framework providers?</w:t>
            </w:r>
          </w:p>
          <w:p w14:paraId="525434C1" w14:textId="77777777" w:rsidR="009E09CD" w:rsidRDefault="009E09CD" w:rsidP="00380A53">
            <w:pPr>
              <w:rPr>
                <w:rFonts w:ascii="Arial" w:hAnsi="Arial" w:cs="Arial"/>
              </w:rPr>
            </w:pPr>
          </w:p>
        </w:tc>
        <w:tc>
          <w:tcPr>
            <w:tcW w:w="8805" w:type="dxa"/>
          </w:tcPr>
          <w:p w14:paraId="03789F04" w14:textId="77777777" w:rsidR="000678CB" w:rsidRDefault="000678CB" w:rsidP="000678CB">
            <w:pPr>
              <w:spacing w:line="216" w:lineRule="auto"/>
              <w:textAlignment w:val="baseline"/>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The Programme position is that </w:t>
            </w:r>
            <w:r w:rsidRPr="006F4D26">
              <w:rPr>
                <w:rFonts w:ascii="Arial" w:eastAsiaTheme="minorEastAsia" w:hAnsi="Arial" w:cs="Arial"/>
                <w:color w:val="000000" w:themeColor="text1"/>
                <w:kern w:val="24"/>
              </w:rPr>
              <w:t>th</w:t>
            </w:r>
            <w:r>
              <w:rPr>
                <w:rFonts w:ascii="Arial" w:eastAsiaTheme="minorEastAsia" w:hAnsi="Arial" w:cs="Arial"/>
                <w:color w:val="000000" w:themeColor="text1"/>
                <w:kern w:val="24"/>
              </w:rPr>
              <w:t xml:space="preserve">e mechanism for staff transfers </w:t>
            </w:r>
            <w:r w:rsidRPr="006F4D26">
              <w:rPr>
                <w:rFonts w:ascii="Arial" w:eastAsiaTheme="minorEastAsia" w:hAnsi="Arial" w:cs="Arial"/>
                <w:color w:val="000000" w:themeColor="text1"/>
                <w:kern w:val="24"/>
              </w:rPr>
              <w:t xml:space="preserve">in relation to </w:t>
            </w:r>
          </w:p>
          <w:p w14:paraId="45791A32" w14:textId="77777777" w:rsidR="000678CB" w:rsidRDefault="000678CB" w:rsidP="000678CB">
            <w:pPr>
              <w:spacing w:line="216" w:lineRule="auto"/>
              <w:textAlignment w:val="baseline"/>
              <w:rPr>
                <w:rFonts w:ascii="Arial" w:eastAsiaTheme="minorEastAsia" w:hAnsi="Arial" w:cs="Arial"/>
                <w:color w:val="000000" w:themeColor="text1"/>
                <w:kern w:val="24"/>
              </w:rPr>
            </w:pPr>
            <w:r w:rsidRPr="006F4D26">
              <w:rPr>
                <w:rFonts w:ascii="Arial" w:eastAsiaTheme="minorEastAsia" w:hAnsi="Arial" w:cs="Arial"/>
                <w:color w:val="000000" w:themeColor="text1"/>
                <w:kern w:val="24"/>
              </w:rPr>
              <w:t>probation service</w:t>
            </w:r>
            <w:r>
              <w:rPr>
                <w:rFonts w:ascii="Arial" w:eastAsiaTheme="minorEastAsia" w:hAnsi="Arial" w:cs="Arial"/>
                <w:color w:val="000000" w:themeColor="text1"/>
                <w:kern w:val="24"/>
              </w:rPr>
              <w:t>s transferring into HMPPS (NPS)</w:t>
            </w:r>
            <w:r w:rsidRPr="006F4D26">
              <w:rPr>
                <w:rFonts w:ascii="Arial" w:eastAsiaTheme="minorEastAsia" w:hAnsi="Arial" w:cs="Arial"/>
                <w:color w:val="000000" w:themeColor="text1"/>
                <w:kern w:val="24"/>
              </w:rPr>
              <w:t xml:space="preserve"> would be via Staff Transfer Scheme (STS) as </w:t>
            </w:r>
            <w:r>
              <w:rPr>
                <w:rFonts w:ascii="Arial" w:eastAsiaTheme="minorEastAsia" w:hAnsi="Arial" w:cs="Arial"/>
                <w:color w:val="000000" w:themeColor="text1"/>
                <w:kern w:val="24"/>
              </w:rPr>
              <w:t xml:space="preserve">the transfer of such services could be considered “an </w:t>
            </w:r>
            <w:r w:rsidRPr="0052358C">
              <w:rPr>
                <w:rFonts w:ascii="Arial" w:eastAsiaTheme="minorEastAsia" w:hAnsi="Arial" w:cs="Arial"/>
                <w:color w:val="000000" w:themeColor="text1"/>
                <w:kern w:val="24"/>
              </w:rPr>
              <w:t>administrative reorganisation of public administrative authorities</w:t>
            </w:r>
            <w:r>
              <w:rPr>
                <w:rFonts w:ascii="Arial" w:eastAsiaTheme="minorEastAsia" w:hAnsi="Arial" w:cs="Arial"/>
                <w:color w:val="000000" w:themeColor="text1"/>
                <w:kern w:val="24"/>
              </w:rPr>
              <w:t>”</w:t>
            </w:r>
            <w:r w:rsidRPr="0052358C">
              <w:rPr>
                <w:rFonts w:ascii="Arial" w:eastAsiaTheme="minorEastAsia" w:hAnsi="Arial" w:cs="Arial"/>
                <w:color w:val="000000" w:themeColor="text1"/>
                <w:kern w:val="24"/>
              </w:rPr>
              <w:t xml:space="preserve"> or </w:t>
            </w:r>
            <w:r>
              <w:rPr>
                <w:rFonts w:ascii="Arial" w:eastAsiaTheme="minorEastAsia" w:hAnsi="Arial" w:cs="Arial"/>
                <w:color w:val="000000" w:themeColor="text1"/>
                <w:kern w:val="24"/>
              </w:rPr>
              <w:t>“</w:t>
            </w:r>
            <w:r w:rsidRPr="0052358C">
              <w:rPr>
                <w:rFonts w:ascii="Arial" w:eastAsiaTheme="minorEastAsia" w:hAnsi="Arial" w:cs="Arial"/>
                <w:color w:val="000000" w:themeColor="text1"/>
                <w:kern w:val="24"/>
              </w:rPr>
              <w:t>the transfer of administrative functions between public administrative authorities</w:t>
            </w:r>
            <w:r>
              <w:rPr>
                <w:rFonts w:ascii="Arial" w:eastAsiaTheme="minorEastAsia" w:hAnsi="Arial" w:cs="Arial"/>
                <w:color w:val="000000" w:themeColor="text1"/>
                <w:kern w:val="24"/>
              </w:rPr>
              <w:t>”</w:t>
            </w:r>
            <w:r w:rsidRPr="0052358C">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 xml:space="preserve">and accordingly would fall within the </w:t>
            </w:r>
            <w:r w:rsidRPr="006F4D26">
              <w:rPr>
                <w:rFonts w:ascii="Arial" w:eastAsiaTheme="minorEastAsia" w:hAnsi="Arial" w:cs="Arial"/>
                <w:color w:val="000000" w:themeColor="text1"/>
                <w:kern w:val="24"/>
              </w:rPr>
              <w:t>‘Henke’ exception</w:t>
            </w:r>
            <w:r>
              <w:rPr>
                <w:rFonts w:ascii="Arial" w:eastAsiaTheme="minorEastAsia" w:hAnsi="Arial" w:cs="Arial"/>
                <w:color w:val="000000" w:themeColor="text1"/>
                <w:kern w:val="24"/>
              </w:rPr>
              <w:t xml:space="preserve">. </w:t>
            </w:r>
          </w:p>
          <w:p w14:paraId="51EEBD6A" w14:textId="77777777" w:rsidR="000678CB" w:rsidRDefault="000678CB" w:rsidP="000678CB">
            <w:pPr>
              <w:spacing w:line="216" w:lineRule="auto"/>
              <w:textAlignment w:val="baseline"/>
              <w:rPr>
                <w:rFonts w:ascii="Arial" w:eastAsiaTheme="minorEastAsia" w:hAnsi="Arial" w:cs="Arial"/>
                <w:color w:val="000000" w:themeColor="text1"/>
                <w:kern w:val="24"/>
              </w:rPr>
            </w:pPr>
          </w:p>
          <w:p w14:paraId="4EE56FC3" w14:textId="77777777" w:rsidR="000678CB" w:rsidRDefault="000678CB" w:rsidP="000678CB">
            <w:pPr>
              <w:spacing w:line="216" w:lineRule="auto"/>
              <w:textAlignment w:val="baseline"/>
              <w:rPr>
                <w:rFonts w:ascii="Arial" w:eastAsiaTheme="minorEastAsia" w:hAnsi="Arial" w:cs="Arial"/>
                <w:color w:val="000000" w:themeColor="text1"/>
                <w:kern w:val="24"/>
              </w:rPr>
            </w:pPr>
            <w:r>
              <w:rPr>
                <w:rFonts w:ascii="Arial" w:eastAsiaTheme="minorEastAsia" w:hAnsi="Arial" w:cs="Arial"/>
                <w:color w:val="000000" w:themeColor="text1"/>
                <w:kern w:val="24"/>
              </w:rPr>
              <w:t>However, as plans for the Dynamic Framework (DF) competition have evolved, we felt it necessary to review whether TUPE could apply to the transfer of these services taking into account, amongst other things, the nature of the local rehabilitation activities to be procured from providers appointed to this framework.</w:t>
            </w:r>
          </w:p>
          <w:p w14:paraId="52FD6707" w14:textId="77777777" w:rsidR="000678CB" w:rsidRDefault="000678CB" w:rsidP="000678CB">
            <w:pPr>
              <w:spacing w:line="216" w:lineRule="auto"/>
              <w:textAlignment w:val="baseline"/>
              <w:rPr>
                <w:rFonts w:ascii="Arial" w:eastAsiaTheme="minorEastAsia" w:hAnsi="Arial" w:cs="Arial"/>
                <w:color w:val="000000" w:themeColor="text1"/>
                <w:kern w:val="24"/>
              </w:rPr>
            </w:pPr>
            <w:r>
              <w:rPr>
                <w:rFonts w:ascii="Arial" w:eastAsiaTheme="minorEastAsia" w:hAnsi="Arial" w:cs="Arial"/>
                <w:color w:val="000000"/>
                <w:kern w:val="24"/>
              </w:rPr>
              <w:t>Unlike the lift and shift of probation services carried out to date, w</w:t>
            </w:r>
            <w:r w:rsidRPr="006F4D26">
              <w:rPr>
                <w:rFonts w:ascii="Arial" w:eastAsiaTheme="minorEastAsia" w:hAnsi="Arial" w:cs="Arial"/>
                <w:color w:val="000000"/>
                <w:kern w:val="24"/>
              </w:rPr>
              <w:t>e believe</w:t>
            </w:r>
            <w:r>
              <w:rPr>
                <w:rFonts w:ascii="Arial" w:eastAsiaTheme="minorEastAsia" w:hAnsi="Arial" w:cs="Arial"/>
                <w:color w:val="000000"/>
                <w:kern w:val="24"/>
              </w:rPr>
              <w:t xml:space="preserve"> the providers appointed to carry out rehabilitation activities to be procured under the DF are</w:t>
            </w:r>
            <w:r w:rsidRPr="006F4D26">
              <w:rPr>
                <w:rFonts w:ascii="Arial" w:eastAsiaTheme="minorEastAsia" w:hAnsi="Arial" w:cs="Arial"/>
                <w:color w:val="000000"/>
                <w:kern w:val="24"/>
              </w:rPr>
              <w:t xml:space="preserve"> likely to be assessed as carrying on </w:t>
            </w:r>
            <w:r>
              <w:rPr>
                <w:rFonts w:ascii="Arial" w:eastAsiaTheme="minorEastAsia" w:hAnsi="Arial" w:cs="Arial"/>
                <w:color w:val="000000"/>
                <w:kern w:val="24"/>
              </w:rPr>
              <w:t>‘</w:t>
            </w:r>
            <w:r w:rsidRPr="006F4D26">
              <w:rPr>
                <w:rFonts w:ascii="Arial" w:eastAsiaTheme="minorEastAsia" w:hAnsi="Arial" w:cs="Arial"/>
                <w:color w:val="000000"/>
                <w:kern w:val="24"/>
              </w:rPr>
              <w:t>economic activities</w:t>
            </w:r>
            <w:r>
              <w:rPr>
                <w:rFonts w:ascii="Arial" w:eastAsiaTheme="minorEastAsia" w:hAnsi="Arial" w:cs="Arial"/>
                <w:color w:val="000000"/>
                <w:kern w:val="24"/>
              </w:rPr>
              <w:t>’</w:t>
            </w:r>
            <w:r w:rsidRPr="006F4D26">
              <w:rPr>
                <w:rFonts w:ascii="Arial" w:eastAsiaTheme="minorEastAsia" w:hAnsi="Arial" w:cs="Arial"/>
                <w:color w:val="000000"/>
                <w:kern w:val="24"/>
              </w:rPr>
              <w:t xml:space="preserve"> (either for profit or not for profit) on a </w:t>
            </w:r>
            <w:r w:rsidRPr="006F4D26">
              <w:rPr>
                <w:rFonts w:ascii="Arial" w:eastAsiaTheme="minorEastAsia" w:hAnsi="Arial" w:cs="Arial"/>
                <w:color w:val="000000"/>
                <w:kern w:val="24"/>
              </w:rPr>
              <w:lastRenderedPageBreak/>
              <w:t xml:space="preserve">commercial basis. </w:t>
            </w:r>
            <w:r>
              <w:rPr>
                <w:rFonts w:ascii="Arial" w:eastAsiaTheme="minorEastAsia" w:hAnsi="Arial" w:cs="Arial"/>
                <w:color w:val="000000" w:themeColor="text1"/>
                <w:kern w:val="24"/>
              </w:rPr>
              <w:t xml:space="preserve">As such, and </w:t>
            </w:r>
            <w:proofErr w:type="gramStart"/>
            <w:r>
              <w:rPr>
                <w:rFonts w:ascii="Arial" w:eastAsiaTheme="minorEastAsia" w:hAnsi="Arial" w:cs="Arial"/>
                <w:color w:val="000000" w:themeColor="text1"/>
                <w:kern w:val="24"/>
              </w:rPr>
              <w:t>taking into account</w:t>
            </w:r>
            <w:proofErr w:type="gramEnd"/>
            <w:r>
              <w:rPr>
                <w:rFonts w:ascii="Arial" w:eastAsiaTheme="minorEastAsia" w:hAnsi="Arial" w:cs="Arial"/>
                <w:color w:val="000000" w:themeColor="text1"/>
                <w:kern w:val="24"/>
              </w:rPr>
              <w:t xml:space="preserve"> the latest case law, we are of the view that TUPE is expected to apply to the transfer of services under the DF subject to the usual requirements for a relevant transfer as set out in the regulations. </w:t>
            </w:r>
          </w:p>
          <w:p w14:paraId="5E66538E" w14:textId="77777777" w:rsidR="000678CB" w:rsidRDefault="000678CB" w:rsidP="000678CB">
            <w:pPr>
              <w:spacing w:line="216" w:lineRule="auto"/>
              <w:textAlignment w:val="baseline"/>
              <w:rPr>
                <w:rFonts w:ascii="Arial" w:eastAsiaTheme="minorEastAsia" w:hAnsi="Arial" w:cs="Arial"/>
                <w:color w:val="000000" w:themeColor="text1"/>
                <w:kern w:val="24"/>
              </w:rPr>
            </w:pPr>
          </w:p>
          <w:p w14:paraId="16A04A87" w14:textId="77777777" w:rsidR="000678CB" w:rsidRPr="006F4D26" w:rsidRDefault="000678CB" w:rsidP="000678CB">
            <w:pPr>
              <w:spacing w:line="216" w:lineRule="auto"/>
              <w:textAlignment w:val="baseline"/>
              <w:rPr>
                <w:rFonts w:ascii="Arial" w:hAnsi="Arial" w:cs="Arial"/>
              </w:rPr>
            </w:pPr>
            <w:r>
              <w:rPr>
                <w:rFonts w:ascii="Arial" w:eastAsiaTheme="minorEastAsia" w:hAnsi="Arial" w:cs="Arial"/>
                <w:color w:val="000000"/>
                <w:kern w:val="24"/>
              </w:rPr>
              <w:t xml:space="preserve">Accordingly, whilst a STS will continue to be relied upon </w:t>
            </w:r>
            <w:r w:rsidRPr="006F4D26">
              <w:rPr>
                <w:rFonts w:ascii="Arial" w:eastAsiaTheme="minorEastAsia" w:hAnsi="Arial" w:cs="Arial"/>
                <w:color w:val="000000"/>
                <w:kern w:val="24"/>
              </w:rPr>
              <w:t>for transfers to HMPPS (NPS)</w:t>
            </w:r>
            <w:r>
              <w:rPr>
                <w:rFonts w:ascii="Arial" w:eastAsiaTheme="minorEastAsia" w:hAnsi="Arial" w:cs="Arial"/>
                <w:color w:val="000000"/>
                <w:kern w:val="24"/>
              </w:rPr>
              <w:t>, TUPE will apply t</w:t>
            </w:r>
            <w:r w:rsidRPr="006F4D26">
              <w:rPr>
                <w:rFonts w:ascii="Arial" w:eastAsiaTheme="minorEastAsia" w:hAnsi="Arial" w:cs="Arial"/>
                <w:color w:val="000000"/>
                <w:kern w:val="24"/>
              </w:rPr>
              <w:t>o transfers to DF providers.</w:t>
            </w:r>
          </w:p>
          <w:p w14:paraId="1E57CBA7" w14:textId="77777777" w:rsidR="009E09CD" w:rsidRPr="003A7F45" w:rsidRDefault="009E09CD" w:rsidP="008B20DF">
            <w:pPr>
              <w:rPr>
                <w:rFonts w:ascii="Arial" w:hAnsi="Arial" w:cs="Arial"/>
              </w:rPr>
            </w:pPr>
          </w:p>
        </w:tc>
      </w:tr>
      <w:tr w:rsidR="009606AD" w:rsidRPr="0051274F" w14:paraId="0F38AF38" w14:textId="77777777" w:rsidTr="00A54F60">
        <w:trPr>
          <w:trHeight w:val="2010"/>
        </w:trPr>
        <w:tc>
          <w:tcPr>
            <w:tcW w:w="0" w:type="auto"/>
          </w:tcPr>
          <w:p w14:paraId="2A139368" w14:textId="77777777" w:rsidR="009606AD" w:rsidRDefault="009606AD" w:rsidP="00380A53">
            <w:pPr>
              <w:rPr>
                <w:rFonts w:ascii="Arial" w:hAnsi="Arial" w:cs="Arial"/>
              </w:rPr>
            </w:pPr>
            <w:r>
              <w:rPr>
                <w:rFonts w:ascii="Arial" w:hAnsi="Arial" w:cs="Arial"/>
              </w:rPr>
              <w:lastRenderedPageBreak/>
              <w:t>Impact on Wales Transferees in 2019</w:t>
            </w:r>
          </w:p>
        </w:tc>
        <w:tc>
          <w:tcPr>
            <w:tcW w:w="2207" w:type="dxa"/>
          </w:tcPr>
          <w:p w14:paraId="4C0AD904" w14:textId="77777777" w:rsidR="009606AD" w:rsidRDefault="009606AD" w:rsidP="009E09CD">
            <w:pPr>
              <w:rPr>
                <w:rFonts w:ascii="Arial" w:hAnsi="Arial" w:cs="Arial"/>
                <w:b/>
              </w:rPr>
            </w:pPr>
            <w:r>
              <w:rPr>
                <w:rFonts w:ascii="Arial" w:hAnsi="Arial" w:cs="Arial"/>
                <w:b/>
              </w:rPr>
              <w:t xml:space="preserve">If the National Agreement is agreed what will happen to the T&amp;Cs of the group of staff who transferred to Wales from </w:t>
            </w:r>
            <w:proofErr w:type="spellStart"/>
            <w:r>
              <w:rPr>
                <w:rFonts w:ascii="Arial" w:hAnsi="Arial" w:cs="Arial"/>
                <w:b/>
              </w:rPr>
              <w:t>Seetec</w:t>
            </w:r>
            <w:proofErr w:type="spellEnd"/>
            <w:r>
              <w:rPr>
                <w:rFonts w:ascii="Arial" w:hAnsi="Arial" w:cs="Arial"/>
                <w:b/>
              </w:rPr>
              <w:t xml:space="preserve"> in Dec 2019</w:t>
            </w:r>
          </w:p>
        </w:tc>
        <w:tc>
          <w:tcPr>
            <w:tcW w:w="8805" w:type="dxa"/>
          </w:tcPr>
          <w:p w14:paraId="57345F4B" w14:textId="77777777" w:rsidR="009606AD" w:rsidRDefault="009606AD" w:rsidP="000678CB">
            <w:pPr>
              <w:spacing w:line="216" w:lineRule="auto"/>
              <w:textAlignment w:val="baseline"/>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At the point of transfer in Dec 2019 the group of staff transferring to HMPPS (NPS) Wales from </w:t>
            </w:r>
            <w:proofErr w:type="spellStart"/>
            <w:r>
              <w:rPr>
                <w:rFonts w:ascii="Arial" w:eastAsiaTheme="minorEastAsia" w:hAnsi="Arial" w:cs="Arial"/>
                <w:color w:val="000000" w:themeColor="text1"/>
                <w:kern w:val="24"/>
              </w:rPr>
              <w:t>Seetec</w:t>
            </w:r>
            <w:proofErr w:type="spellEnd"/>
            <w:r>
              <w:rPr>
                <w:rFonts w:ascii="Arial" w:eastAsiaTheme="minorEastAsia" w:hAnsi="Arial" w:cs="Arial"/>
                <w:color w:val="000000" w:themeColor="text1"/>
                <w:kern w:val="24"/>
              </w:rPr>
              <w:t xml:space="preserve"> retained their current T&amp;C’s. If the National Agreement is agreed then the T&amp;Cs for this group will be applied retrospectively to the date of transfer in Dec 2019.</w:t>
            </w:r>
          </w:p>
        </w:tc>
      </w:tr>
      <w:tr w:rsidR="00EF0C36" w:rsidRPr="0051274F" w14:paraId="178A36BB" w14:textId="77777777" w:rsidTr="00A54F60">
        <w:trPr>
          <w:trHeight w:val="2010"/>
        </w:trPr>
        <w:tc>
          <w:tcPr>
            <w:tcW w:w="0" w:type="auto"/>
          </w:tcPr>
          <w:p w14:paraId="0CA6AB33" w14:textId="77777777" w:rsidR="00EF0C36" w:rsidRDefault="00EF0C36" w:rsidP="00380A53">
            <w:pPr>
              <w:rPr>
                <w:rFonts w:ascii="Arial" w:hAnsi="Arial" w:cs="Arial"/>
              </w:rPr>
            </w:pPr>
            <w:r>
              <w:rPr>
                <w:rFonts w:ascii="Arial" w:hAnsi="Arial" w:cs="Arial"/>
              </w:rPr>
              <w:t>Pensions</w:t>
            </w:r>
          </w:p>
        </w:tc>
        <w:tc>
          <w:tcPr>
            <w:tcW w:w="2207" w:type="dxa"/>
          </w:tcPr>
          <w:p w14:paraId="71026B50" w14:textId="77777777" w:rsidR="00EF0C36" w:rsidRDefault="00EF0C36" w:rsidP="009E09CD">
            <w:pPr>
              <w:rPr>
                <w:rFonts w:ascii="Arial" w:hAnsi="Arial" w:cs="Arial"/>
                <w:b/>
              </w:rPr>
            </w:pPr>
            <w:r>
              <w:rPr>
                <w:rFonts w:ascii="Arial" w:hAnsi="Arial" w:cs="Arial"/>
                <w:b/>
              </w:rPr>
              <w:t>What happens to</w:t>
            </w:r>
            <w:r w:rsidR="003A0F3C">
              <w:rPr>
                <w:rFonts w:ascii="Arial" w:hAnsi="Arial" w:cs="Arial"/>
                <w:b/>
              </w:rPr>
              <w:t xml:space="preserve"> </w:t>
            </w:r>
            <w:proofErr w:type="gramStart"/>
            <w:r w:rsidR="003A0F3C">
              <w:rPr>
                <w:rFonts w:ascii="Arial" w:hAnsi="Arial" w:cs="Arial"/>
                <w:b/>
              </w:rPr>
              <w:t>employees</w:t>
            </w:r>
            <w:proofErr w:type="gramEnd"/>
            <w:r w:rsidR="003A0F3C">
              <w:rPr>
                <w:rFonts w:ascii="Arial" w:hAnsi="Arial" w:cs="Arial"/>
                <w:b/>
              </w:rPr>
              <w:t xml:space="preserve"> </w:t>
            </w:r>
            <w:r w:rsidR="00DE7DF7">
              <w:rPr>
                <w:rFonts w:ascii="Arial" w:hAnsi="Arial" w:cs="Arial"/>
                <w:b/>
              </w:rPr>
              <w:t xml:space="preserve">current </w:t>
            </w:r>
            <w:r w:rsidR="003A0F3C">
              <w:rPr>
                <w:rFonts w:ascii="Arial" w:hAnsi="Arial" w:cs="Arial"/>
                <w:b/>
              </w:rPr>
              <w:t xml:space="preserve">occupational pensions </w:t>
            </w:r>
            <w:r w:rsidR="0008245E">
              <w:rPr>
                <w:rFonts w:ascii="Arial" w:hAnsi="Arial" w:cs="Arial"/>
                <w:b/>
              </w:rPr>
              <w:t xml:space="preserve">upon </w:t>
            </w:r>
            <w:r w:rsidR="003A0F3C">
              <w:rPr>
                <w:rFonts w:ascii="Arial" w:hAnsi="Arial" w:cs="Arial"/>
                <w:b/>
              </w:rPr>
              <w:t>transfer to HMPPS (NPS)</w:t>
            </w:r>
            <w:r w:rsidR="0008245E">
              <w:rPr>
                <w:rFonts w:ascii="Arial" w:hAnsi="Arial" w:cs="Arial"/>
                <w:b/>
              </w:rPr>
              <w:t>?</w:t>
            </w:r>
          </w:p>
        </w:tc>
        <w:tc>
          <w:tcPr>
            <w:tcW w:w="8805" w:type="dxa"/>
          </w:tcPr>
          <w:p w14:paraId="04DBC737" w14:textId="77777777" w:rsidR="00B736D1" w:rsidRPr="0008245E" w:rsidRDefault="0008245E" w:rsidP="00B736D1">
            <w:pPr>
              <w:rPr>
                <w:rFonts w:ascii="Arial" w:hAnsi="Arial" w:cs="Arial"/>
              </w:rPr>
            </w:pPr>
            <w:r w:rsidRPr="0008245E">
              <w:rPr>
                <w:rFonts w:ascii="Arial" w:hAnsi="Arial" w:cs="Arial"/>
              </w:rPr>
              <w:t>This</w:t>
            </w:r>
            <w:r w:rsidR="00B736D1" w:rsidRPr="0008245E">
              <w:rPr>
                <w:rFonts w:ascii="Arial" w:hAnsi="Arial" w:cs="Arial"/>
              </w:rPr>
              <w:t xml:space="preserve"> depends on </w:t>
            </w:r>
            <w:r w:rsidRPr="0008245E">
              <w:rPr>
                <w:rFonts w:ascii="Arial" w:hAnsi="Arial" w:cs="Arial"/>
              </w:rPr>
              <w:t>members</w:t>
            </w:r>
            <w:r w:rsidR="00B736D1" w:rsidRPr="0008245E">
              <w:rPr>
                <w:rFonts w:ascii="Arial" w:hAnsi="Arial" w:cs="Arial"/>
              </w:rPr>
              <w:t xml:space="preserve"> existing arrangements and how long they have participated in those arrangements. We are unable to give any guidance except to say they will need to contact their current provider.</w:t>
            </w:r>
          </w:p>
          <w:p w14:paraId="7E7632DD" w14:textId="77777777" w:rsidR="00EF0C36" w:rsidRDefault="00EF0C36" w:rsidP="000678CB">
            <w:pPr>
              <w:spacing w:line="216" w:lineRule="auto"/>
              <w:textAlignment w:val="baseline"/>
              <w:rPr>
                <w:rFonts w:ascii="Arial" w:eastAsiaTheme="minorEastAsia" w:hAnsi="Arial" w:cs="Arial"/>
                <w:color w:val="000000" w:themeColor="text1"/>
                <w:kern w:val="24"/>
              </w:rPr>
            </w:pPr>
          </w:p>
        </w:tc>
      </w:tr>
      <w:tr w:rsidR="009514B8" w:rsidRPr="0051274F" w14:paraId="4921A4DE" w14:textId="77777777" w:rsidTr="00A54F60">
        <w:trPr>
          <w:trHeight w:val="2010"/>
        </w:trPr>
        <w:tc>
          <w:tcPr>
            <w:tcW w:w="0" w:type="auto"/>
          </w:tcPr>
          <w:p w14:paraId="2C6273E2" w14:textId="38F0FF94" w:rsidR="009514B8" w:rsidRPr="003260BA" w:rsidRDefault="009514B8" w:rsidP="00380A53">
            <w:pPr>
              <w:rPr>
                <w:rFonts w:ascii="Arial" w:hAnsi="Arial" w:cs="Arial"/>
              </w:rPr>
            </w:pPr>
            <w:r w:rsidRPr="003260BA">
              <w:rPr>
                <w:rFonts w:ascii="Arial" w:hAnsi="Arial" w:cs="Arial"/>
              </w:rPr>
              <w:t xml:space="preserve">Pay </w:t>
            </w:r>
          </w:p>
        </w:tc>
        <w:tc>
          <w:tcPr>
            <w:tcW w:w="2207" w:type="dxa"/>
          </w:tcPr>
          <w:p w14:paraId="190EFF71" w14:textId="77777777" w:rsidR="00B075B4" w:rsidRDefault="00B075B4" w:rsidP="009E09CD">
            <w:pPr>
              <w:rPr>
                <w:rFonts w:ascii="Arial" w:hAnsi="Arial" w:cs="Arial"/>
                <w:b/>
                <w:bCs/>
              </w:rPr>
            </w:pPr>
            <w:r>
              <w:rPr>
                <w:rFonts w:ascii="Arial" w:hAnsi="Arial" w:cs="Arial"/>
                <w:b/>
                <w:bCs/>
              </w:rPr>
              <w:t>H</w:t>
            </w:r>
            <w:r w:rsidR="00307492">
              <w:rPr>
                <w:rFonts w:ascii="Arial" w:hAnsi="Arial" w:cs="Arial"/>
                <w:b/>
                <w:bCs/>
              </w:rPr>
              <w:t xml:space="preserve">ow will staff assimilate to the </w:t>
            </w:r>
            <w:r>
              <w:rPr>
                <w:rFonts w:ascii="Arial" w:hAnsi="Arial" w:cs="Arial"/>
                <w:b/>
                <w:bCs/>
              </w:rPr>
              <w:t xml:space="preserve">NPS Pay structure </w:t>
            </w:r>
          </w:p>
          <w:p w14:paraId="5B6478EE" w14:textId="77777777" w:rsidR="00B075B4" w:rsidRDefault="00B075B4" w:rsidP="009E09CD">
            <w:pPr>
              <w:rPr>
                <w:rFonts w:ascii="Arial" w:hAnsi="Arial" w:cs="Arial"/>
                <w:b/>
                <w:bCs/>
              </w:rPr>
            </w:pPr>
          </w:p>
          <w:p w14:paraId="580477AC" w14:textId="1089B267" w:rsidR="009514B8" w:rsidRPr="003260BA" w:rsidRDefault="009514B8" w:rsidP="009E09CD">
            <w:pPr>
              <w:rPr>
                <w:rFonts w:ascii="Arial" w:hAnsi="Arial" w:cs="Arial"/>
                <w:b/>
              </w:rPr>
            </w:pPr>
          </w:p>
        </w:tc>
        <w:tc>
          <w:tcPr>
            <w:tcW w:w="8805" w:type="dxa"/>
          </w:tcPr>
          <w:p w14:paraId="5DD68C24" w14:textId="77777777" w:rsidR="00AA3A1C" w:rsidRPr="00DF3948" w:rsidRDefault="00AA3A1C" w:rsidP="007A16D7">
            <w:pPr>
              <w:rPr>
                <w:rFonts w:ascii="Tahoma" w:hAnsi="Tahoma" w:cs="Tahoma"/>
                <w:color w:val="1F4E79"/>
              </w:rPr>
            </w:pPr>
          </w:p>
          <w:p w14:paraId="353641A0" w14:textId="255C37D4" w:rsidR="007A16D7" w:rsidRPr="00DA31D8" w:rsidRDefault="007A16D7" w:rsidP="007A16D7">
            <w:pPr>
              <w:rPr>
                <w:rFonts w:ascii="Tahoma" w:hAnsi="Tahoma" w:cs="Tahoma"/>
              </w:rPr>
            </w:pPr>
            <w:r w:rsidRPr="00DA31D8">
              <w:rPr>
                <w:rFonts w:ascii="Tahoma" w:hAnsi="Tahoma" w:cs="Tahoma"/>
              </w:rPr>
              <w:t xml:space="preserve">If a CRC staff member transfers across and is on an annual salary at the same rate as a recognised NPS pay point in their NPS pay band then they will transfer onto the same figure within the NPS pay band and there will be no impact on their salary from the transfer. </w:t>
            </w:r>
          </w:p>
          <w:p w14:paraId="7D8059BC" w14:textId="77777777" w:rsidR="007A16D7" w:rsidRPr="00DA31D8" w:rsidRDefault="007A16D7" w:rsidP="007A16D7">
            <w:pPr>
              <w:rPr>
                <w:rFonts w:ascii="Tahoma" w:hAnsi="Tahoma" w:cs="Tahoma"/>
              </w:rPr>
            </w:pPr>
          </w:p>
          <w:p w14:paraId="3FFF6D7E" w14:textId="77777777" w:rsidR="007A16D7" w:rsidRPr="00DA31D8" w:rsidRDefault="007A16D7" w:rsidP="007A16D7">
            <w:pPr>
              <w:rPr>
                <w:rFonts w:ascii="Tahoma" w:hAnsi="Tahoma" w:cs="Tahoma"/>
              </w:rPr>
            </w:pPr>
            <w:r w:rsidRPr="00DA31D8">
              <w:rPr>
                <w:rFonts w:ascii="Tahoma" w:hAnsi="Tahoma" w:cs="Tahoma"/>
              </w:rPr>
              <w:t xml:space="preserve">Please see the examples below, </w:t>
            </w:r>
            <w:proofErr w:type="gramStart"/>
            <w:r w:rsidRPr="00DA31D8">
              <w:rPr>
                <w:rFonts w:ascii="Tahoma" w:hAnsi="Tahoma" w:cs="Tahoma"/>
              </w:rPr>
              <w:t>in particular example</w:t>
            </w:r>
            <w:proofErr w:type="gramEnd"/>
            <w:r w:rsidRPr="00DA31D8">
              <w:rPr>
                <w:rFonts w:ascii="Tahoma" w:hAnsi="Tahoma" w:cs="Tahoma"/>
              </w:rPr>
              <w:t xml:space="preserve"> 3 </w:t>
            </w:r>
          </w:p>
          <w:p w14:paraId="45185FB4" w14:textId="77777777" w:rsidR="007A16D7" w:rsidRPr="00DA31D8" w:rsidRDefault="007A16D7" w:rsidP="007A16D7">
            <w:pPr>
              <w:rPr>
                <w:rFonts w:ascii="Tahoma" w:hAnsi="Tahoma" w:cs="Tahoma"/>
              </w:rPr>
            </w:pPr>
          </w:p>
          <w:p w14:paraId="37220451" w14:textId="77777777" w:rsidR="00DF3948" w:rsidRPr="00DF3948" w:rsidRDefault="00DF3948" w:rsidP="007A16D7">
            <w:pPr>
              <w:rPr>
                <w:rFonts w:ascii="Tahoma" w:hAnsi="Tahoma" w:cs="Tahoma"/>
                <w:b/>
                <w:bCs/>
              </w:rPr>
            </w:pPr>
          </w:p>
          <w:p w14:paraId="0CEBDDA9" w14:textId="77777777" w:rsidR="00DF3948" w:rsidRPr="00DF3948" w:rsidRDefault="00DF3948" w:rsidP="007A16D7">
            <w:pPr>
              <w:rPr>
                <w:rFonts w:ascii="Tahoma" w:hAnsi="Tahoma" w:cs="Tahoma"/>
                <w:b/>
                <w:bCs/>
              </w:rPr>
            </w:pPr>
          </w:p>
          <w:p w14:paraId="48CB7DB5" w14:textId="77777777" w:rsidR="00DF3948" w:rsidRPr="00DF3948" w:rsidRDefault="00DF3948" w:rsidP="007A16D7">
            <w:pPr>
              <w:rPr>
                <w:rFonts w:ascii="Tahoma" w:hAnsi="Tahoma" w:cs="Tahoma"/>
                <w:b/>
                <w:bCs/>
              </w:rPr>
            </w:pPr>
          </w:p>
          <w:p w14:paraId="7F3F1CF5" w14:textId="4539D8DB" w:rsidR="007A16D7" w:rsidRPr="00DF3948" w:rsidRDefault="007A16D7" w:rsidP="007A16D7">
            <w:pPr>
              <w:rPr>
                <w:rFonts w:ascii="Tahoma" w:hAnsi="Tahoma" w:cs="Tahoma"/>
                <w:b/>
                <w:bCs/>
              </w:rPr>
            </w:pPr>
            <w:r w:rsidRPr="00DF3948">
              <w:rPr>
                <w:rFonts w:ascii="Tahoma" w:hAnsi="Tahoma" w:cs="Tahoma"/>
                <w:b/>
                <w:bCs/>
              </w:rPr>
              <w:t>Example 1:</w:t>
            </w:r>
            <w:r w:rsidR="00DA31D8">
              <w:rPr>
                <w:rFonts w:ascii="Tahoma" w:hAnsi="Tahoma" w:cs="Tahoma"/>
                <w:b/>
                <w:bCs/>
              </w:rPr>
              <w:t xml:space="preserve"> </w:t>
            </w:r>
            <w:r w:rsidRPr="00DF3948">
              <w:rPr>
                <w:rFonts w:ascii="Tahoma" w:hAnsi="Tahoma" w:cs="Tahoma"/>
                <w:b/>
                <w:bCs/>
              </w:rPr>
              <w:t>BAND 2</w:t>
            </w:r>
          </w:p>
          <w:p w14:paraId="0E008F25" w14:textId="77777777" w:rsidR="00DF3948" w:rsidRPr="00DF3948" w:rsidRDefault="00DF3948" w:rsidP="007A16D7">
            <w:pPr>
              <w:rPr>
                <w:rFonts w:ascii="Tahoma" w:hAnsi="Tahoma" w:cs="Tahoma"/>
                <w:b/>
                <w:bCs/>
              </w:rPr>
            </w:pPr>
          </w:p>
          <w:p w14:paraId="3346E8AD" w14:textId="38530DD1" w:rsidR="007A16D7" w:rsidRPr="00DF3948" w:rsidRDefault="007A16D7" w:rsidP="007A16D7">
            <w:pPr>
              <w:rPr>
                <w:rFonts w:ascii="Tahoma" w:hAnsi="Tahoma" w:cs="Tahoma"/>
              </w:rPr>
            </w:pPr>
            <w:r w:rsidRPr="00DF3948">
              <w:rPr>
                <w:rFonts w:ascii="Tahoma" w:hAnsi="Tahoma" w:cs="Tahoma"/>
              </w:rPr>
              <w:t>Current CRC Basic Salary - £18,654</w:t>
            </w:r>
          </w:p>
          <w:p w14:paraId="6545CB5D" w14:textId="77777777" w:rsidR="00954419" w:rsidRPr="00DF3948" w:rsidRDefault="00954419" w:rsidP="007A16D7">
            <w:pPr>
              <w:rPr>
                <w:rFonts w:ascii="Tahoma" w:hAnsi="Tahoma" w:cs="Tahoma"/>
              </w:rPr>
            </w:pPr>
          </w:p>
          <w:p w14:paraId="4259107C" w14:textId="77777777" w:rsidR="007A16D7" w:rsidRPr="00DF3948" w:rsidRDefault="007A16D7" w:rsidP="007A16D7">
            <w:pPr>
              <w:rPr>
                <w:rFonts w:ascii="Tahoma" w:hAnsi="Tahoma" w:cs="Tahoma"/>
              </w:rPr>
            </w:pPr>
            <w:r w:rsidRPr="00DF3948">
              <w:rPr>
                <w:rFonts w:ascii="Tahoma" w:hAnsi="Tahoma" w:cs="Tahoma"/>
              </w:rPr>
              <w:t>Pay on assimilation to the NPS structure - £18,833</w:t>
            </w:r>
          </w:p>
          <w:p w14:paraId="6E97A5D4" w14:textId="77777777" w:rsidR="00954419" w:rsidRPr="00DF3948" w:rsidRDefault="00954419" w:rsidP="007A16D7">
            <w:pPr>
              <w:rPr>
                <w:rFonts w:ascii="Tahoma" w:hAnsi="Tahoma" w:cs="Tahoma"/>
              </w:rPr>
            </w:pPr>
          </w:p>
          <w:p w14:paraId="6DDA4481" w14:textId="419790B7" w:rsidR="007A16D7" w:rsidRPr="00DF3948" w:rsidRDefault="007A16D7" w:rsidP="007A16D7">
            <w:pPr>
              <w:rPr>
                <w:rFonts w:ascii="Tahoma" w:hAnsi="Tahoma" w:cs="Tahoma"/>
              </w:rPr>
            </w:pPr>
            <w:r w:rsidRPr="00DF3948">
              <w:rPr>
                <w:rFonts w:ascii="Tahoma" w:hAnsi="Tahoma" w:cs="Tahoma"/>
              </w:rPr>
              <w:t>The salary of £18,654 is not a recognised pay point on the NPS pay structure. The employee will assimilate onto the nearest higher pay point on the Band 2 scale and receive an increase of £179.</w:t>
            </w:r>
          </w:p>
          <w:p w14:paraId="6982F26F" w14:textId="77777777" w:rsidR="007A16D7" w:rsidRPr="00DF3948" w:rsidRDefault="007A16D7" w:rsidP="007A16D7">
            <w:pPr>
              <w:rPr>
                <w:rFonts w:ascii="Tahoma" w:hAnsi="Tahoma" w:cs="Tahoma"/>
              </w:rPr>
            </w:pPr>
          </w:p>
          <w:p w14:paraId="6D092D1C" w14:textId="2D2CEAA8" w:rsidR="007A16D7" w:rsidRPr="00DF3948" w:rsidRDefault="007A16D7" w:rsidP="007A16D7">
            <w:pPr>
              <w:rPr>
                <w:rFonts w:ascii="Tahoma" w:hAnsi="Tahoma" w:cs="Tahoma"/>
                <w:b/>
                <w:bCs/>
              </w:rPr>
            </w:pPr>
            <w:r w:rsidRPr="00DF3948">
              <w:rPr>
                <w:rFonts w:ascii="Tahoma" w:hAnsi="Tahoma" w:cs="Tahoma"/>
                <w:b/>
                <w:bCs/>
              </w:rPr>
              <w:t>Example 2:</w:t>
            </w:r>
            <w:r w:rsidR="00DA31D8">
              <w:rPr>
                <w:rFonts w:ascii="Tahoma" w:hAnsi="Tahoma" w:cs="Tahoma"/>
                <w:b/>
                <w:bCs/>
              </w:rPr>
              <w:t xml:space="preserve"> </w:t>
            </w:r>
            <w:r w:rsidRPr="00DF3948">
              <w:rPr>
                <w:rFonts w:ascii="Tahoma" w:hAnsi="Tahoma" w:cs="Tahoma"/>
                <w:b/>
                <w:bCs/>
              </w:rPr>
              <w:t>BAND 3:</w:t>
            </w:r>
          </w:p>
          <w:p w14:paraId="14147D97" w14:textId="77777777" w:rsidR="007A16D7" w:rsidRPr="00DF3948" w:rsidRDefault="007A16D7" w:rsidP="007A16D7">
            <w:pPr>
              <w:rPr>
                <w:rFonts w:ascii="Tahoma" w:hAnsi="Tahoma" w:cs="Tahoma"/>
              </w:rPr>
            </w:pPr>
            <w:r w:rsidRPr="00DF3948">
              <w:rPr>
                <w:rFonts w:ascii="Tahoma" w:hAnsi="Tahoma" w:cs="Tahoma"/>
              </w:rPr>
              <w:t>Current CRC Basic Salary - £29,000</w:t>
            </w:r>
          </w:p>
          <w:p w14:paraId="552594EB" w14:textId="77777777" w:rsidR="00954419" w:rsidRPr="00DF3948" w:rsidRDefault="00954419" w:rsidP="007A16D7">
            <w:pPr>
              <w:rPr>
                <w:rFonts w:ascii="Tahoma" w:hAnsi="Tahoma" w:cs="Tahoma"/>
              </w:rPr>
            </w:pPr>
          </w:p>
          <w:p w14:paraId="7122CB6A" w14:textId="54E0F50B" w:rsidR="007A16D7" w:rsidRPr="00DF3948" w:rsidRDefault="007A16D7" w:rsidP="007A16D7">
            <w:pPr>
              <w:rPr>
                <w:rFonts w:ascii="Tahoma" w:hAnsi="Tahoma" w:cs="Tahoma"/>
              </w:rPr>
            </w:pPr>
            <w:r w:rsidRPr="00DF3948">
              <w:rPr>
                <w:rFonts w:ascii="Tahoma" w:hAnsi="Tahoma" w:cs="Tahoma"/>
              </w:rPr>
              <w:t>Pay on assimilation to the NPS structure - £28,200 (Pay Band maximum)</w:t>
            </w:r>
          </w:p>
          <w:p w14:paraId="217D59CF" w14:textId="77777777" w:rsidR="00954419" w:rsidRPr="00DF3948" w:rsidRDefault="00954419" w:rsidP="007A16D7">
            <w:pPr>
              <w:rPr>
                <w:rFonts w:ascii="Tahoma" w:hAnsi="Tahoma" w:cs="Tahoma"/>
              </w:rPr>
            </w:pPr>
          </w:p>
          <w:p w14:paraId="5EE29F3C" w14:textId="1DCECC39" w:rsidR="007A16D7" w:rsidRPr="00DF3948" w:rsidRDefault="007A16D7" w:rsidP="007A16D7">
            <w:pPr>
              <w:rPr>
                <w:rFonts w:ascii="Tahoma" w:hAnsi="Tahoma" w:cs="Tahoma"/>
                <w:b/>
                <w:bCs/>
              </w:rPr>
            </w:pPr>
            <w:r w:rsidRPr="00DF3948">
              <w:rPr>
                <w:rFonts w:ascii="Tahoma" w:hAnsi="Tahoma" w:cs="Tahoma"/>
              </w:rPr>
              <w:t xml:space="preserve">The employee will assimilate to the maximum of the Band 2 pay scale which is currently £28,200. They will not suffer a drop in their take home pay. We will apply pay protection to the difference of £1,200 per annum and this will be paid as an erodible mark time allowance for three years from the date of transfer. </w:t>
            </w:r>
          </w:p>
          <w:p w14:paraId="3703B935" w14:textId="77777777" w:rsidR="007A16D7" w:rsidRPr="00DF3948" w:rsidRDefault="007A16D7" w:rsidP="007A16D7">
            <w:pPr>
              <w:rPr>
                <w:rFonts w:ascii="Tahoma" w:hAnsi="Tahoma" w:cs="Tahoma"/>
                <w:b/>
                <w:bCs/>
              </w:rPr>
            </w:pPr>
          </w:p>
          <w:p w14:paraId="7FA9113E" w14:textId="703AC536" w:rsidR="007A16D7" w:rsidRPr="00DF3948" w:rsidRDefault="007A16D7" w:rsidP="007A16D7">
            <w:pPr>
              <w:rPr>
                <w:rFonts w:ascii="Tahoma" w:hAnsi="Tahoma" w:cs="Tahoma"/>
                <w:b/>
                <w:bCs/>
              </w:rPr>
            </w:pPr>
            <w:r w:rsidRPr="00DF3948">
              <w:rPr>
                <w:rFonts w:ascii="Tahoma" w:hAnsi="Tahoma" w:cs="Tahoma"/>
                <w:b/>
                <w:bCs/>
              </w:rPr>
              <w:t>Example 3:</w:t>
            </w:r>
            <w:r w:rsidR="00DA31D8">
              <w:rPr>
                <w:rFonts w:ascii="Tahoma" w:hAnsi="Tahoma" w:cs="Tahoma"/>
                <w:b/>
                <w:bCs/>
              </w:rPr>
              <w:t xml:space="preserve"> </w:t>
            </w:r>
            <w:r w:rsidRPr="00DF3948">
              <w:rPr>
                <w:rFonts w:ascii="Tahoma" w:hAnsi="Tahoma" w:cs="Tahoma"/>
                <w:b/>
                <w:bCs/>
              </w:rPr>
              <w:t>BAND 4</w:t>
            </w:r>
          </w:p>
          <w:p w14:paraId="2C53D74E" w14:textId="77777777" w:rsidR="00DF3948" w:rsidRPr="00DF3948" w:rsidRDefault="00DF3948" w:rsidP="007A16D7">
            <w:pPr>
              <w:rPr>
                <w:rFonts w:ascii="Tahoma" w:hAnsi="Tahoma" w:cs="Tahoma"/>
                <w:b/>
                <w:bCs/>
              </w:rPr>
            </w:pPr>
          </w:p>
          <w:p w14:paraId="14076B84" w14:textId="77777777" w:rsidR="007A16D7" w:rsidRPr="00DF3948" w:rsidRDefault="007A16D7" w:rsidP="007A16D7">
            <w:pPr>
              <w:rPr>
                <w:rFonts w:ascii="Tahoma" w:hAnsi="Tahoma" w:cs="Tahoma"/>
              </w:rPr>
            </w:pPr>
            <w:r w:rsidRPr="00DF3948">
              <w:rPr>
                <w:rFonts w:ascii="Tahoma" w:hAnsi="Tahoma" w:cs="Tahoma"/>
              </w:rPr>
              <w:t>Current CRC Basic Salary - £30,208</w:t>
            </w:r>
          </w:p>
          <w:p w14:paraId="3985FD53" w14:textId="77777777" w:rsidR="00954419" w:rsidRPr="00DF3948" w:rsidRDefault="00954419" w:rsidP="007A16D7">
            <w:pPr>
              <w:rPr>
                <w:rFonts w:ascii="Tahoma" w:hAnsi="Tahoma" w:cs="Tahoma"/>
              </w:rPr>
            </w:pPr>
          </w:p>
          <w:p w14:paraId="7BB46152" w14:textId="60EB2F64" w:rsidR="007A16D7" w:rsidRPr="00DF3948" w:rsidRDefault="007A16D7" w:rsidP="007A16D7">
            <w:pPr>
              <w:rPr>
                <w:rFonts w:ascii="Tahoma" w:hAnsi="Tahoma" w:cs="Tahoma"/>
              </w:rPr>
            </w:pPr>
            <w:r w:rsidRPr="00DF3948">
              <w:rPr>
                <w:rFonts w:ascii="Tahoma" w:hAnsi="Tahoma" w:cs="Tahoma"/>
              </w:rPr>
              <w:t>Pay on assimilation to the NPS structure - £30,208</w:t>
            </w:r>
          </w:p>
          <w:p w14:paraId="0B2FA33A" w14:textId="77777777" w:rsidR="00954419" w:rsidRPr="00DF3948" w:rsidRDefault="00954419" w:rsidP="007A16D7">
            <w:pPr>
              <w:rPr>
                <w:rFonts w:ascii="Tahoma" w:hAnsi="Tahoma" w:cs="Tahoma"/>
              </w:rPr>
            </w:pPr>
          </w:p>
          <w:p w14:paraId="520673BC" w14:textId="64542581" w:rsidR="007A16D7" w:rsidRPr="00DF3948" w:rsidRDefault="007A16D7" w:rsidP="007A16D7">
            <w:pPr>
              <w:rPr>
                <w:rFonts w:ascii="Tahoma" w:hAnsi="Tahoma" w:cs="Tahoma"/>
              </w:rPr>
            </w:pPr>
            <w:r w:rsidRPr="00DF3948">
              <w:rPr>
                <w:rFonts w:ascii="Tahoma" w:hAnsi="Tahoma" w:cs="Tahoma"/>
              </w:rPr>
              <w:t>As the pay point of £30,208 already exists in the NPS pay structure, the employee will remain on their existing basic salary. There will be no impact on their annual salary from the transfer to the NPS. This is also the salary used for the next NPS pay award, subject to the national NPS pay award position.</w:t>
            </w:r>
          </w:p>
          <w:p w14:paraId="5C92D155" w14:textId="77777777" w:rsidR="007A16D7" w:rsidRPr="00DF3948" w:rsidRDefault="007A16D7" w:rsidP="007A16D7">
            <w:pPr>
              <w:rPr>
                <w:rFonts w:ascii="Tahoma" w:hAnsi="Tahoma" w:cs="Tahoma"/>
                <w:color w:val="1F4E79"/>
              </w:rPr>
            </w:pPr>
          </w:p>
          <w:p w14:paraId="3224CEE3" w14:textId="77777777" w:rsidR="009514B8" w:rsidRPr="00DF3948" w:rsidRDefault="009514B8" w:rsidP="009F39FA">
            <w:pPr>
              <w:rPr>
                <w:rFonts w:ascii="Tahoma" w:hAnsi="Tahoma" w:cs="Tahoma"/>
              </w:rPr>
            </w:pPr>
          </w:p>
        </w:tc>
      </w:tr>
      <w:tr w:rsidR="009F39FA" w:rsidRPr="0051274F" w14:paraId="66666CC8" w14:textId="77777777" w:rsidTr="00A54F60">
        <w:trPr>
          <w:trHeight w:val="2010"/>
        </w:trPr>
        <w:tc>
          <w:tcPr>
            <w:tcW w:w="0" w:type="auto"/>
          </w:tcPr>
          <w:p w14:paraId="26517F86" w14:textId="5A240079" w:rsidR="009F39FA" w:rsidRPr="003260BA" w:rsidRDefault="009F39FA" w:rsidP="00380A53">
            <w:pPr>
              <w:rPr>
                <w:rFonts w:ascii="Arial" w:hAnsi="Arial" w:cs="Arial"/>
              </w:rPr>
            </w:pPr>
            <w:r>
              <w:rPr>
                <w:rFonts w:ascii="Arial" w:hAnsi="Arial" w:cs="Arial"/>
              </w:rPr>
              <w:lastRenderedPageBreak/>
              <w:t xml:space="preserve">Pay </w:t>
            </w:r>
          </w:p>
        </w:tc>
        <w:tc>
          <w:tcPr>
            <w:tcW w:w="2207" w:type="dxa"/>
          </w:tcPr>
          <w:p w14:paraId="1F95F25A" w14:textId="026826DA" w:rsidR="009F39FA" w:rsidRPr="003260BA" w:rsidRDefault="009F39FA" w:rsidP="009E09CD">
            <w:pPr>
              <w:rPr>
                <w:rFonts w:ascii="Arial" w:hAnsi="Arial" w:cs="Arial"/>
                <w:b/>
              </w:rPr>
            </w:pPr>
            <w:r w:rsidRPr="003260BA">
              <w:rPr>
                <w:rFonts w:ascii="Arial" w:hAnsi="Arial" w:cs="Arial"/>
                <w:b/>
                <w:bCs/>
              </w:rPr>
              <w:t>What happens when Pay Protection for former CRC staff payments ends?</w:t>
            </w:r>
          </w:p>
        </w:tc>
        <w:tc>
          <w:tcPr>
            <w:tcW w:w="8805" w:type="dxa"/>
          </w:tcPr>
          <w:p w14:paraId="436F946D" w14:textId="77777777" w:rsidR="009F39FA" w:rsidRPr="00DF3948" w:rsidRDefault="009F39FA" w:rsidP="009F39FA">
            <w:pPr>
              <w:rPr>
                <w:rFonts w:ascii="Tahoma" w:hAnsi="Tahoma" w:cs="Tahoma"/>
                <w:b/>
              </w:rPr>
            </w:pPr>
            <w:r w:rsidRPr="00DF3948">
              <w:rPr>
                <w:rFonts w:ascii="Tahoma" w:hAnsi="Tahoma" w:cs="Tahoma"/>
                <w:b/>
              </w:rPr>
              <w:t>Pay Protection</w:t>
            </w:r>
          </w:p>
          <w:p w14:paraId="2A9DF23D" w14:textId="77777777" w:rsidR="009F39FA" w:rsidRPr="00DF3948" w:rsidRDefault="009F39FA" w:rsidP="009F39FA">
            <w:pPr>
              <w:rPr>
                <w:rFonts w:ascii="Tahoma" w:hAnsi="Tahoma" w:cs="Tahoma"/>
              </w:rPr>
            </w:pPr>
            <w:r w:rsidRPr="00DF3948">
              <w:rPr>
                <w:rFonts w:ascii="Tahoma" w:hAnsi="Tahoma" w:cs="Tahoma"/>
              </w:rPr>
              <w:t>Pay Protection is achieved by the payment of a separate and erodible mark time allowance. This is a separate allowance and limited to three years duration. Your NPS basic annual salary will remain in payment and will not be impacted by the end of your pay protection.</w:t>
            </w:r>
          </w:p>
          <w:p w14:paraId="0862E36F" w14:textId="77777777" w:rsidR="009F39FA" w:rsidRPr="00DF3948" w:rsidRDefault="009F39FA" w:rsidP="009F39FA">
            <w:pPr>
              <w:rPr>
                <w:rFonts w:ascii="Tahoma" w:hAnsi="Tahoma" w:cs="Tahoma"/>
              </w:rPr>
            </w:pPr>
          </w:p>
          <w:p w14:paraId="54BBC18F" w14:textId="32EECBB6" w:rsidR="009F39FA" w:rsidRDefault="009F39FA" w:rsidP="009F39FA">
            <w:pPr>
              <w:rPr>
                <w:rFonts w:ascii="Tahoma" w:hAnsi="Tahoma" w:cs="Tahoma"/>
              </w:rPr>
            </w:pPr>
            <w:r w:rsidRPr="00DF3948">
              <w:rPr>
                <w:rFonts w:ascii="Tahoma" w:hAnsi="Tahoma" w:cs="Tahoma"/>
              </w:rPr>
              <w:t xml:space="preserve">A mark time allowance will be shown separately on your payslip and this is the figure that will cease after three years. Your NPS basic annual salary will remain unchanged by the pay protection. Your NPS basic annual salary will be treated for pay award purposes in the same manner as every other NPS employee and may increase with the annual pay awards dependent on the national NPS pay position. </w:t>
            </w:r>
          </w:p>
          <w:p w14:paraId="0E09E6D4" w14:textId="77777777" w:rsidR="009F39FA" w:rsidRPr="00DF3948" w:rsidRDefault="009F39FA" w:rsidP="009F39FA">
            <w:pPr>
              <w:rPr>
                <w:rFonts w:ascii="Tahoma" w:hAnsi="Tahoma" w:cs="Tahoma"/>
              </w:rPr>
            </w:pPr>
          </w:p>
          <w:p w14:paraId="30186531" w14:textId="77777777" w:rsidR="009F39FA" w:rsidRDefault="009F39FA" w:rsidP="009F39FA">
            <w:pPr>
              <w:rPr>
                <w:rFonts w:ascii="Tahoma" w:hAnsi="Tahoma" w:cs="Tahoma"/>
              </w:rPr>
            </w:pPr>
            <w:r w:rsidRPr="00DF3948">
              <w:rPr>
                <w:rFonts w:ascii="Tahoma" w:hAnsi="Tahoma" w:cs="Tahoma"/>
              </w:rPr>
              <w:t xml:space="preserve">At the end of the three years there will be no impact on the NPS annual salary or any NPS allowances. </w:t>
            </w:r>
            <w:proofErr w:type="gramStart"/>
            <w:r w:rsidRPr="00DF3948">
              <w:rPr>
                <w:rFonts w:ascii="Tahoma" w:hAnsi="Tahoma" w:cs="Tahoma"/>
              </w:rPr>
              <w:t>However</w:t>
            </w:r>
            <w:proofErr w:type="gramEnd"/>
            <w:r w:rsidRPr="00DF3948">
              <w:rPr>
                <w:rFonts w:ascii="Tahoma" w:hAnsi="Tahoma" w:cs="Tahoma"/>
              </w:rPr>
              <w:t xml:space="preserve"> if the Mark Time allowance is still in payment then this will cease after three years if it has not eroded before then.</w:t>
            </w:r>
          </w:p>
          <w:p w14:paraId="567F22C9" w14:textId="342CA73C" w:rsidR="009F39FA" w:rsidRPr="003260BA" w:rsidRDefault="009F39FA" w:rsidP="009F39FA">
            <w:pPr>
              <w:rPr>
                <w:rFonts w:ascii="Arial" w:hAnsi="Arial" w:cs="Arial"/>
                <w:lang w:val="en-US"/>
              </w:rPr>
            </w:pPr>
          </w:p>
        </w:tc>
      </w:tr>
      <w:tr w:rsidR="008C69AD" w:rsidRPr="0051274F" w14:paraId="6AB9123A" w14:textId="77777777" w:rsidTr="00A54F60">
        <w:trPr>
          <w:trHeight w:val="2010"/>
        </w:trPr>
        <w:tc>
          <w:tcPr>
            <w:tcW w:w="0" w:type="auto"/>
          </w:tcPr>
          <w:p w14:paraId="2ABEC0A7" w14:textId="77777777" w:rsidR="008C69AD" w:rsidRPr="003260BA" w:rsidRDefault="008C69AD" w:rsidP="00380A53">
            <w:pPr>
              <w:rPr>
                <w:rFonts w:ascii="Arial" w:hAnsi="Arial" w:cs="Arial"/>
              </w:rPr>
            </w:pPr>
            <w:r w:rsidRPr="003260BA">
              <w:rPr>
                <w:rFonts w:ascii="Arial" w:hAnsi="Arial" w:cs="Arial"/>
              </w:rPr>
              <w:t>National Agreement</w:t>
            </w:r>
          </w:p>
        </w:tc>
        <w:tc>
          <w:tcPr>
            <w:tcW w:w="2207" w:type="dxa"/>
          </w:tcPr>
          <w:p w14:paraId="72F17EA3" w14:textId="77777777" w:rsidR="008C69AD" w:rsidRPr="003260BA" w:rsidRDefault="008C69AD" w:rsidP="009E09CD">
            <w:pPr>
              <w:rPr>
                <w:rFonts w:ascii="Arial" w:hAnsi="Arial" w:cs="Arial"/>
                <w:b/>
                <w:bCs/>
              </w:rPr>
            </w:pPr>
            <w:r w:rsidRPr="003260BA">
              <w:rPr>
                <w:rFonts w:ascii="Arial" w:hAnsi="Arial" w:cs="Arial"/>
                <w:b/>
              </w:rPr>
              <w:t>Who does the National Agreement apply to?</w:t>
            </w:r>
          </w:p>
        </w:tc>
        <w:tc>
          <w:tcPr>
            <w:tcW w:w="8805" w:type="dxa"/>
          </w:tcPr>
          <w:p w14:paraId="3594275B" w14:textId="77777777" w:rsidR="003260BA" w:rsidRPr="003260BA" w:rsidRDefault="003260BA" w:rsidP="003260BA">
            <w:pPr>
              <w:rPr>
                <w:rFonts w:ascii="Arial" w:hAnsi="Arial" w:cs="Arial"/>
                <w:lang w:val="en-US"/>
              </w:rPr>
            </w:pPr>
            <w:r w:rsidRPr="003260BA">
              <w:rPr>
                <w:rFonts w:ascii="Arial" w:hAnsi="Arial" w:cs="Arial"/>
                <w:lang w:val="en-US"/>
              </w:rPr>
              <w:t xml:space="preserve">The Agreement is with the Probation Trade Unions and extends to CRCs and their staff that transfer, either to HMPPS (NPS), or to Dynamic Framework Providers only.  It does not extend to staff in other employers (CRC parent </w:t>
            </w:r>
            <w:proofErr w:type="spellStart"/>
            <w:r w:rsidRPr="003260BA">
              <w:rPr>
                <w:rFonts w:ascii="Arial" w:hAnsi="Arial" w:cs="Arial"/>
                <w:lang w:val="en-US"/>
              </w:rPr>
              <w:t>organisations</w:t>
            </w:r>
            <w:proofErr w:type="spellEnd"/>
            <w:r w:rsidRPr="003260BA">
              <w:rPr>
                <w:rFonts w:ascii="Arial" w:hAnsi="Arial" w:cs="Arial"/>
                <w:lang w:val="en-US"/>
              </w:rPr>
              <w:t>, subcontractor or supply chain) because we could not negotiate an agreement with the Probation TU’s where they do not have a negotiating remit.  These staff would transfer to the NPS with their contractual terms protected in June 2021.  The Agreement would be the basis for alignment discussions for these groups.</w:t>
            </w:r>
          </w:p>
          <w:p w14:paraId="0FB69684" w14:textId="77777777" w:rsidR="008C69AD" w:rsidRPr="003260BA" w:rsidRDefault="008C69AD" w:rsidP="008C69AD">
            <w:pPr>
              <w:rPr>
                <w:rFonts w:ascii="Arial" w:hAnsi="Arial" w:cs="Arial"/>
              </w:rPr>
            </w:pPr>
          </w:p>
        </w:tc>
      </w:tr>
      <w:tr w:rsidR="002754AD" w:rsidRPr="0051274F" w14:paraId="14C42A06" w14:textId="77777777" w:rsidTr="00A54F60">
        <w:trPr>
          <w:trHeight w:val="2010"/>
        </w:trPr>
        <w:tc>
          <w:tcPr>
            <w:tcW w:w="0" w:type="auto"/>
          </w:tcPr>
          <w:p w14:paraId="58FD37D3" w14:textId="77777777" w:rsidR="002754AD" w:rsidRPr="003260BA" w:rsidRDefault="002754AD" w:rsidP="00380A53">
            <w:pPr>
              <w:rPr>
                <w:rFonts w:ascii="Arial" w:hAnsi="Arial" w:cs="Arial"/>
              </w:rPr>
            </w:pPr>
            <w:r>
              <w:rPr>
                <w:rFonts w:ascii="Arial" w:hAnsi="Arial" w:cs="Arial"/>
              </w:rPr>
              <w:t>Continuity of Service</w:t>
            </w:r>
          </w:p>
        </w:tc>
        <w:tc>
          <w:tcPr>
            <w:tcW w:w="2207" w:type="dxa"/>
          </w:tcPr>
          <w:p w14:paraId="0553840E" w14:textId="77777777" w:rsidR="002754AD" w:rsidRPr="003260BA" w:rsidRDefault="002754AD" w:rsidP="009E09CD">
            <w:pPr>
              <w:rPr>
                <w:rFonts w:ascii="Arial" w:hAnsi="Arial" w:cs="Arial"/>
                <w:b/>
              </w:rPr>
            </w:pPr>
            <w:r>
              <w:rPr>
                <w:rFonts w:ascii="Arial" w:hAnsi="Arial" w:cs="Arial"/>
                <w:b/>
              </w:rPr>
              <w:t>What service will be protected if I transfer to a DF provider?</w:t>
            </w:r>
          </w:p>
        </w:tc>
        <w:tc>
          <w:tcPr>
            <w:tcW w:w="8805" w:type="dxa"/>
          </w:tcPr>
          <w:p w14:paraId="6FFDBDDD" w14:textId="4776B99C" w:rsidR="002754AD" w:rsidRDefault="002754AD" w:rsidP="002754AD">
            <w:pPr>
              <w:spacing w:before="120"/>
              <w:rPr>
                <w:rFonts w:ascii="Arial" w:eastAsia="Times New Roman" w:hAnsi="Arial" w:cs="Arial"/>
                <w:lang w:eastAsia="en-GB"/>
              </w:rPr>
            </w:pPr>
            <w:r w:rsidRPr="002754AD">
              <w:rPr>
                <w:rFonts w:ascii="Arial" w:eastAsia="Times New Roman" w:hAnsi="Arial" w:cs="Arial"/>
                <w:lang w:eastAsia="en-GB"/>
              </w:rPr>
              <w:t>Continuous service with a CRC, including continuous service with a former Probation Trust and predecessor/s will count as a period</w:t>
            </w:r>
            <w:r>
              <w:rPr>
                <w:rFonts w:ascii="Arial" w:eastAsia="Times New Roman" w:hAnsi="Arial" w:cs="Arial"/>
                <w:lang w:eastAsia="en-GB"/>
              </w:rPr>
              <w:t xml:space="preserve"> of continuous service </w:t>
            </w:r>
            <w:r w:rsidRPr="002754AD">
              <w:rPr>
                <w:rFonts w:ascii="Arial" w:eastAsia="Times New Roman" w:hAnsi="Arial" w:cs="Arial"/>
                <w:lang w:eastAsia="en-GB"/>
              </w:rPr>
              <w:t>post transfer and the change of employer does not break continuity of employment.</w:t>
            </w:r>
          </w:p>
          <w:p w14:paraId="205752E0" w14:textId="65FC3289" w:rsidR="007549C1" w:rsidRDefault="007549C1" w:rsidP="002754AD">
            <w:pPr>
              <w:spacing w:before="120"/>
              <w:rPr>
                <w:rFonts w:ascii="Arial" w:eastAsia="Times New Roman" w:hAnsi="Arial" w:cs="Arial"/>
                <w:lang w:eastAsia="en-GB"/>
              </w:rPr>
            </w:pPr>
          </w:p>
          <w:p w14:paraId="172B90B5" w14:textId="356D1974" w:rsidR="007549C1" w:rsidRPr="002754AD" w:rsidRDefault="007549C1" w:rsidP="002754AD">
            <w:pPr>
              <w:spacing w:before="120"/>
              <w:rPr>
                <w:rFonts w:ascii="Arial" w:eastAsia="Times New Roman" w:hAnsi="Arial" w:cs="Arial"/>
                <w:lang w:eastAsia="en-GB"/>
              </w:rPr>
            </w:pPr>
            <w:r>
              <w:rPr>
                <w:rFonts w:ascii="Arial" w:eastAsia="Times New Roman" w:hAnsi="Arial" w:cs="Arial"/>
                <w:lang w:eastAsia="en-GB"/>
              </w:rPr>
              <w:t>Please refer to paragraphs 6 and 7 of the separate Voluntary Redundancy (VR) / Voluntary Severance (VS) document for details of what service will count for VR / VS purposes.</w:t>
            </w:r>
          </w:p>
          <w:p w14:paraId="7469AAA3" w14:textId="77777777" w:rsidR="002754AD" w:rsidRPr="003260BA" w:rsidRDefault="002754AD" w:rsidP="003260BA">
            <w:pPr>
              <w:rPr>
                <w:rFonts w:ascii="Arial" w:hAnsi="Arial" w:cs="Arial"/>
                <w:lang w:val="en-US"/>
              </w:rPr>
            </w:pPr>
          </w:p>
        </w:tc>
      </w:tr>
    </w:tbl>
    <w:p w14:paraId="448CF6EE" w14:textId="77777777" w:rsidR="006B3BA3" w:rsidRPr="0051274F" w:rsidRDefault="006B3BA3"/>
    <w:sectPr w:rsidR="006B3BA3" w:rsidRPr="0051274F" w:rsidSect="00A54F60">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BEFB7" w14:textId="77777777" w:rsidR="00776891" w:rsidRDefault="00776891" w:rsidP="00380A53">
      <w:pPr>
        <w:spacing w:after="0" w:line="240" w:lineRule="auto"/>
      </w:pPr>
      <w:r>
        <w:separator/>
      </w:r>
    </w:p>
  </w:endnote>
  <w:endnote w:type="continuationSeparator" w:id="0">
    <w:p w14:paraId="582B37E4" w14:textId="77777777" w:rsidR="00776891" w:rsidRDefault="00776891" w:rsidP="0038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349E" w14:textId="77777777" w:rsidR="005C55D4" w:rsidRDefault="005C5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193C" w14:textId="77777777" w:rsidR="005C55D4" w:rsidRDefault="005C5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E567" w14:textId="77777777" w:rsidR="005C55D4" w:rsidRDefault="005C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F9F0F" w14:textId="77777777" w:rsidR="00776891" w:rsidRDefault="00776891" w:rsidP="00380A53">
      <w:pPr>
        <w:spacing w:after="0" w:line="240" w:lineRule="auto"/>
      </w:pPr>
      <w:r>
        <w:separator/>
      </w:r>
    </w:p>
  </w:footnote>
  <w:footnote w:type="continuationSeparator" w:id="0">
    <w:p w14:paraId="620C9A80" w14:textId="77777777" w:rsidR="00776891" w:rsidRDefault="00776891" w:rsidP="00380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6818" w14:textId="77777777" w:rsidR="005C55D4" w:rsidRDefault="005C5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C4DB1" w14:textId="77777777" w:rsidR="00BC70CE" w:rsidRPr="00380A53" w:rsidRDefault="00380A53" w:rsidP="00DC7111">
    <w:pPr>
      <w:pStyle w:val="Header"/>
      <w:jc w:val="center"/>
      <w:rPr>
        <w:rFonts w:ascii="Arial" w:hAnsi="Arial" w:cs="Arial"/>
        <w:b/>
      </w:rPr>
    </w:pPr>
    <w:r w:rsidRPr="00380A53">
      <w:rPr>
        <w:rFonts w:ascii="Arial" w:hAnsi="Arial" w:cs="Arial"/>
        <w:b/>
      </w:rPr>
      <w:t>Q&amp;A</w:t>
    </w:r>
    <w:r>
      <w:rPr>
        <w:rFonts w:ascii="Arial" w:hAnsi="Arial" w:cs="Arial"/>
        <w:b/>
      </w:rPr>
      <w:t xml:space="preserve">– </w:t>
    </w:r>
    <w:r w:rsidR="00DC7111">
      <w:rPr>
        <w:rFonts w:ascii="Arial" w:hAnsi="Arial" w:cs="Arial"/>
        <w:b/>
      </w:rPr>
      <w:t>Support responses for National Agreement TU Ballot September 20</w:t>
    </w:r>
    <w:r w:rsidR="005C55D4">
      <w:rPr>
        <w:rFonts w:ascii="Arial" w:hAnsi="Arial" w:cs="Arial"/>
        <w:b/>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54E6" w14:textId="77777777" w:rsidR="005C55D4" w:rsidRDefault="005C5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11F"/>
    <w:multiLevelType w:val="hybridMultilevel"/>
    <w:tmpl w:val="F2BA87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8E0387E"/>
    <w:multiLevelType w:val="hybridMultilevel"/>
    <w:tmpl w:val="EFCE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C32DD"/>
    <w:multiLevelType w:val="hybridMultilevel"/>
    <w:tmpl w:val="8064E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F61FC2"/>
    <w:multiLevelType w:val="hybridMultilevel"/>
    <w:tmpl w:val="088EA06E"/>
    <w:lvl w:ilvl="0" w:tplc="47BED6B2">
      <w:start w:val="1"/>
      <w:numFmt w:val="bullet"/>
      <w:lvlText w:val="•"/>
      <w:lvlJc w:val="left"/>
      <w:pPr>
        <w:tabs>
          <w:tab w:val="num" w:pos="720"/>
        </w:tabs>
        <w:ind w:left="720" w:hanging="360"/>
      </w:pPr>
      <w:rPr>
        <w:rFonts w:ascii="Arial" w:hAnsi="Arial" w:hint="default"/>
      </w:rPr>
    </w:lvl>
    <w:lvl w:ilvl="1" w:tplc="12EAF5A8">
      <w:start w:val="1"/>
      <w:numFmt w:val="bullet"/>
      <w:lvlText w:val="•"/>
      <w:lvlJc w:val="left"/>
      <w:pPr>
        <w:tabs>
          <w:tab w:val="num" w:pos="1440"/>
        </w:tabs>
        <w:ind w:left="1440" w:hanging="360"/>
      </w:pPr>
      <w:rPr>
        <w:rFonts w:ascii="Arial" w:hAnsi="Arial" w:hint="default"/>
      </w:rPr>
    </w:lvl>
    <w:lvl w:ilvl="2" w:tplc="E29035EE" w:tentative="1">
      <w:start w:val="1"/>
      <w:numFmt w:val="bullet"/>
      <w:lvlText w:val="•"/>
      <w:lvlJc w:val="left"/>
      <w:pPr>
        <w:tabs>
          <w:tab w:val="num" w:pos="2160"/>
        </w:tabs>
        <w:ind w:left="2160" w:hanging="360"/>
      </w:pPr>
      <w:rPr>
        <w:rFonts w:ascii="Arial" w:hAnsi="Arial" w:hint="default"/>
      </w:rPr>
    </w:lvl>
    <w:lvl w:ilvl="3" w:tplc="77AC68C0" w:tentative="1">
      <w:start w:val="1"/>
      <w:numFmt w:val="bullet"/>
      <w:lvlText w:val="•"/>
      <w:lvlJc w:val="left"/>
      <w:pPr>
        <w:tabs>
          <w:tab w:val="num" w:pos="2880"/>
        </w:tabs>
        <w:ind w:left="2880" w:hanging="360"/>
      </w:pPr>
      <w:rPr>
        <w:rFonts w:ascii="Arial" w:hAnsi="Arial" w:hint="default"/>
      </w:rPr>
    </w:lvl>
    <w:lvl w:ilvl="4" w:tplc="1734695C" w:tentative="1">
      <w:start w:val="1"/>
      <w:numFmt w:val="bullet"/>
      <w:lvlText w:val="•"/>
      <w:lvlJc w:val="left"/>
      <w:pPr>
        <w:tabs>
          <w:tab w:val="num" w:pos="3600"/>
        </w:tabs>
        <w:ind w:left="3600" w:hanging="360"/>
      </w:pPr>
      <w:rPr>
        <w:rFonts w:ascii="Arial" w:hAnsi="Arial" w:hint="default"/>
      </w:rPr>
    </w:lvl>
    <w:lvl w:ilvl="5" w:tplc="6AF48066" w:tentative="1">
      <w:start w:val="1"/>
      <w:numFmt w:val="bullet"/>
      <w:lvlText w:val="•"/>
      <w:lvlJc w:val="left"/>
      <w:pPr>
        <w:tabs>
          <w:tab w:val="num" w:pos="4320"/>
        </w:tabs>
        <w:ind w:left="4320" w:hanging="360"/>
      </w:pPr>
      <w:rPr>
        <w:rFonts w:ascii="Arial" w:hAnsi="Arial" w:hint="default"/>
      </w:rPr>
    </w:lvl>
    <w:lvl w:ilvl="6" w:tplc="2684E7CE" w:tentative="1">
      <w:start w:val="1"/>
      <w:numFmt w:val="bullet"/>
      <w:lvlText w:val="•"/>
      <w:lvlJc w:val="left"/>
      <w:pPr>
        <w:tabs>
          <w:tab w:val="num" w:pos="5040"/>
        </w:tabs>
        <w:ind w:left="5040" w:hanging="360"/>
      </w:pPr>
      <w:rPr>
        <w:rFonts w:ascii="Arial" w:hAnsi="Arial" w:hint="default"/>
      </w:rPr>
    </w:lvl>
    <w:lvl w:ilvl="7" w:tplc="5A0292E6" w:tentative="1">
      <w:start w:val="1"/>
      <w:numFmt w:val="bullet"/>
      <w:lvlText w:val="•"/>
      <w:lvlJc w:val="left"/>
      <w:pPr>
        <w:tabs>
          <w:tab w:val="num" w:pos="5760"/>
        </w:tabs>
        <w:ind w:left="5760" w:hanging="360"/>
      </w:pPr>
      <w:rPr>
        <w:rFonts w:ascii="Arial" w:hAnsi="Arial" w:hint="default"/>
      </w:rPr>
    </w:lvl>
    <w:lvl w:ilvl="8" w:tplc="04241D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6B3F2F"/>
    <w:multiLevelType w:val="hybridMultilevel"/>
    <w:tmpl w:val="516E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C6DB9"/>
    <w:multiLevelType w:val="hybridMultilevel"/>
    <w:tmpl w:val="BAB65E54"/>
    <w:lvl w:ilvl="0" w:tplc="13AAB4A8">
      <w:start w:val="1"/>
      <w:numFmt w:val="bullet"/>
      <w:pStyle w:val="Bulletlist3"/>
      <w:lvlText w:val=""/>
      <w:lvlJc w:val="left"/>
      <w:pPr>
        <w:ind w:left="1064" w:hanging="360"/>
      </w:pPr>
      <w:rPr>
        <w:rFonts w:ascii="Symbol" w:hAnsi="Symbol" w:hint="default"/>
        <w:color w:val="7F4098"/>
      </w:rPr>
    </w:lvl>
    <w:lvl w:ilvl="1" w:tplc="08090003">
      <w:start w:val="1"/>
      <w:numFmt w:val="bullet"/>
      <w:lvlText w:val="o"/>
      <w:lvlJc w:val="left"/>
      <w:pPr>
        <w:ind w:left="1292" w:hanging="360"/>
      </w:pPr>
      <w:rPr>
        <w:rFonts w:ascii="Courier New" w:hAnsi="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6" w15:restartNumberingAfterBreak="0">
    <w:nsid w:val="23F807C0"/>
    <w:multiLevelType w:val="hybridMultilevel"/>
    <w:tmpl w:val="908CE9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B70C27"/>
    <w:multiLevelType w:val="hybridMultilevel"/>
    <w:tmpl w:val="C0700D3C"/>
    <w:lvl w:ilvl="0" w:tplc="2CFADC1A">
      <w:start w:val="1"/>
      <w:numFmt w:val="bullet"/>
      <w:pStyle w:val="Bulletlist2"/>
      <w:lvlText w:val=""/>
      <w:lvlJc w:val="left"/>
      <w:pPr>
        <w:ind w:left="720" w:hanging="360"/>
      </w:pPr>
      <w:rPr>
        <w:rFonts w:ascii="Symbol" w:hAnsi="Symbol" w:hint="default"/>
        <w:color w:val="7F4098"/>
        <w:sz w:val="24"/>
        <w:szCs w:val="24"/>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E7060"/>
    <w:multiLevelType w:val="hybridMultilevel"/>
    <w:tmpl w:val="50C03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E147F"/>
    <w:multiLevelType w:val="multilevel"/>
    <w:tmpl w:val="B840FE42"/>
    <w:lvl w:ilvl="0">
      <w:start w:val="1"/>
      <w:numFmt w:val="decimal"/>
      <w:lvlText w:val="%1."/>
      <w:lvlJc w:val="left"/>
      <w:pPr>
        <w:ind w:left="720" w:hanging="360"/>
      </w:pPr>
      <w:rPr>
        <w:rFonts w:hint="default"/>
      </w:rPr>
    </w:lvl>
    <w:lvl w:ilvl="1">
      <w:start w:val="1"/>
      <w:numFmt w:val="decimal"/>
      <w:lvlText w:val="%1.%2."/>
      <w:lvlJc w:val="left"/>
      <w:pPr>
        <w:ind w:left="1141"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8"/>
  </w:num>
  <w:num w:numId="2">
    <w:abstractNumId w:val="3"/>
  </w:num>
  <w:num w:numId="3">
    <w:abstractNumId w:val="7"/>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53"/>
    <w:rsid w:val="00000B2A"/>
    <w:rsid w:val="00002E38"/>
    <w:rsid w:val="000347BB"/>
    <w:rsid w:val="00046053"/>
    <w:rsid w:val="00055F13"/>
    <w:rsid w:val="00057C6D"/>
    <w:rsid w:val="00063F8B"/>
    <w:rsid w:val="000678CB"/>
    <w:rsid w:val="00073B2A"/>
    <w:rsid w:val="00074A57"/>
    <w:rsid w:val="0008245E"/>
    <w:rsid w:val="00083EFC"/>
    <w:rsid w:val="000842E7"/>
    <w:rsid w:val="000B732B"/>
    <w:rsid w:val="000D0763"/>
    <w:rsid w:val="000E027D"/>
    <w:rsid w:val="000E14D3"/>
    <w:rsid w:val="000E5E44"/>
    <w:rsid w:val="000F0A93"/>
    <w:rsid w:val="0011784F"/>
    <w:rsid w:val="0016068C"/>
    <w:rsid w:val="00176597"/>
    <w:rsid w:val="0019608D"/>
    <w:rsid w:val="001A245C"/>
    <w:rsid w:val="001A2BCB"/>
    <w:rsid w:val="001F3704"/>
    <w:rsid w:val="00201A05"/>
    <w:rsid w:val="002264F2"/>
    <w:rsid w:val="0023099D"/>
    <w:rsid w:val="00233027"/>
    <w:rsid w:val="002411FA"/>
    <w:rsid w:val="00244D77"/>
    <w:rsid w:val="00274E90"/>
    <w:rsid w:val="002754AD"/>
    <w:rsid w:val="00276BF3"/>
    <w:rsid w:val="00285D50"/>
    <w:rsid w:val="002E1675"/>
    <w:rsid w:val="002E4144"/>
    <w:rsid w:val="002F3A75"/>
    <w:rsid w:val="003047CA"/>
    <w:rsid w:val="00304B2E"/>
    <w:rsid w:val="00307492"/>
    <w:rsid w:val="0032311D"/>
    <w:rsid w:val="003260BA"/>
    <w:rsid w:val="003270F6"/>
    <w:rsid w:val="00337103"/>
    <w:rsid w:val="003426DC"/>
    <w:rsid w:val="0035395E"/>
    <w:rsid w:val="003627FB"/>
    <w:rsid w:val="00363BF2"/>
    <w:rsid w:val="00374CFE"/>
    <w:rsid w:val="00380A53"/>
    <w:rsid w:val="00385119"/>
    <w:rsid w:val="0039726C"/>
    <w:rsid w:val="003A0F3C"/>
    <w:rsid w:val="003A46C2"/>
    <w:rsid w:val="003A7F45"/>
    <w:rsid w:val="003C191F"/>
    <w:rsid w:val="003C5DA4"/>
    <w:rsid w:val="003F40CD"/>
    <w:rsid w:val="003F4E57"/>
    <w:rsid w:val="004055DF"/>
    <w:rsid w:val="00405C01"/>
    <w:rsid w:val="00466F4C"/>
    <w:rsid w:val="00485C1C"/>
    <w:rsid w:val="004973C5"/>
    <w:rsid w:val="004A2979"/>
    <w:rsid w:val="004A37F9"/>
    <w:rsid w:val="004A5C04"/>
    <w:rsid w:val="004B3544"/>
    <w:rsid w:val="004C1F10"/>
    <w:rsid w:val="004D43DD"/>
    <w:rsid w:val="004E1E0C"/>
    <w:rsid w:val="004E350F"/>
    <w:rsid w:val="004E3C5D"/>
    <w:rsid w:val="00502F29"/>
    <w:rsid w:val="0051016E"/>
    <w:rsid w:val="0051274F"/>
    <w:rsid w:val="00546836"/>
    <w:rsid w:val="00552F9D"/>
    <w:rsid w:val="00561E52"/>
    <w:rsid w:val="005648F4"/>
    <w:rsid w:val="00571DDE"/>
    <w:rsid w:val="005841C7"/>
    <w:rsid w:val="005B1552"/>
    <w:rsid w:val="005B397B"/>
    <w:rsid w:val="005B442A"/>
    <w:rsid w:val="005B44A7"/>
    <w:rsid w:val="005B7790"/>
    <w:rsid w:val="005C55D4"/>
    <w:rsid w:val="005D13AD"/>
    <w:rsid w:val="005E78AE"/>
    <w:rsid w:val="005E790C"/>
    <w:rsid w:val="00604196"/>
    <w:rsid w:val="0061029D"/>
    <w:rsid w:val="006367C0"/>
    <w:rsid w:val="006513C4"/>
    <w:rsid w:val="00685B5B"/>
    <w:rsid w:val="00694848"/>
    <w:rsid w:val="006A4F4C"/>
    <w:rsid w:val="006A6B08"/>
    <w:rsid w:val="006B39AF"/>
    <w:rsid w:val="006B3BA3"/>
    <w:rsid w:val="006C4749"/>
    <w:rsid w:val="006D7A41"/>
    <w:rsid w:val="006E4726"/>
    <w:rsid w:val="006E75C6"/>
    <w:rsid w:val="00705A84"/>
    <w:rsid w:val="00705EC2"/>
    <w:rsid w:val="00707AE9"/>
    <w:rsid w:val="00721593"/>
    <w:rsid w:val="0073502D"/>
    <w:rsid w:val="00737F81"/>
    <w:rsid w:val="00747252"/>
    <w:rsid w:val="007549C1"/>
    <w:rsid w:val="00776891"/>
    <w:rsid w:val="0078796C"/>
    <w:rsid w:val="007A16D7"/>
    <w:rsid w:val="007B40B7"/>
    <w:rsid w:val="0084201C"/>
    <w:rsid w:val="00844A86"/>
    <w:rsid w:val="008473B3"/>
    <w:rsid w:val="00855349"/>
    <w:rsid w:val="008564DD"/>
    <w:rsid w:val="00857ACF"/>
    <w:rsid w:val="00865CBE"/>
    <w:rsid w:val="008709FA"/>
    <w:rsid w:val="0087104E"/>
    <w:rsid w:val="008825BF"/>
    <w:rsid w:val="0088349C"/>
    <w:rsid w:val="008A1A82"/>
    <w:rsid w:val="008B20DF"/>
    <w:rsid w:val="008B36A5"/>
    <w:rsid w:val="008C69AD"/>
    <w:rsid w:val="008D1F5A"/>
    <w:rsid w:val="008D4E84"/>
    <w:rsid w:val="008F5580"/>
    <w:rsid w:val="009144E5"/>
    <w:rsid w:val="00921A10"/>
    <w:rsid w:val="00932F22"/>
    <w:rsid w:val="0094102B"/>
    <w:rsid w:val="009514B8"/>
    <w:rsid w:val="00954419"/>
    <w:rsid w:val="00955F0E"/>
    <w:rsid w:val="00956304"/>
    <w:rsid w:val="009606AD"/>
    <w:rsid w:val="0096096A"/>
    <w:rsid w:val="00972AA3"/>
    <w:rsid w:val="00981D45"/>
    <w:rsid w:val="0099249A"/>
    <w:rsid w:val="009A0B91"/>
    <w:rsid w:val="009C720A"/>
    <w:rsid w:val="009E09CD"/>
    <w:rsid w:val="009F39FA"/>
    <w:rsid w:val="00A00F2F"/>
    <w:rsid w:val="00A06DA0"/>
    <w:rsid w:val="00A2467F"/>
    <w:rsid w:val="00A26577"/>
    <w:rsid w:val="00A318AC"/>
    <w:rsid w:val="00A34BCF"/>
    <w:rsid w:val="00A476E5"/>
    <w:rsid w:val="00A54805"/>
    <w:rsid w:val="00A54F60"/>
    <w:rsid w:val="00A66D61"/>
    <w:rsid w:val="00A81C0C"/>
    <w:rsid w:val="00A863A2"/>
    <w:rsid w:val="00A95616"/>
    <w:rsid w:val="00AA3A1C"/>
    <w:rsid w:val="00AC594A"/>
    <w:rsid w:val="00AD5C13"/>
    <w:rsid w:val="00AE3F92"/>
    <w:rsid w:val="00AF76B9"/>
    <w:rsid w:val="00AF79C7"/>
    <w:rsid w:val="00B05E5F"/>
    <w:rsid w:val="00B075B4"/>
    <w:rsid w:val="00B225EA"/>
    <w:rsid w:val="00B56EE9"/>
    <w:rsid w:val="00B72F83"/>
    <w:rsid w:val="00B736D1"/>
    <w:rsid w:val="00B807A5"/>
    <w:rsid w:val="00B81983"/>
    <w:rsid w:val="00B876FC"/>
    <w:rsid w:val="00BA1A52"/>
    <w:rsid w:val="00BA5263"/>
    <w:rsid w:val="00BB5E31"/>
    <w:rsid w:val="00BC0477"/>
    <w:rsid w:val="00BC70CE"/>
    <w:rsid w:val="00C112AE"/>
    <w:rsid w:val="00C54F0D"/>
    <w:rsid w:val="00C558A0"/>
    <w:rsid w:val="00C8239F"/>
    <w:rsid w:val="00C85A88"/>
    <w:rsid w:val="00C944FC"/>
    <w:rsid w:val="00CB4CC3"/>
    <w:rsid w:val="00CE1638"/>
    <w:rsid w:val="00CE2DBE"/>
    <w:rsid w:val="00CE3581"/>
    <w:rsid w:val="00CF2E39"/>
    <w:rsid w:val="00D0229E"/>
    <w:rsid w:val="00D146CF"/>
    <w:rsid w:val="00D41AAA"/>
    <w:rsid w:val="00D46BF1"/>
    <w:rsid w:val="00D51918"/>
    <w:rsid w:val="00D65B90"/>
    <w:rsid w:val="00D75435"/>
    <w:rsid w:val="00D7628E"/>
    <w:rsid w:val="00DA31D8"/>
    <w:rsid w:val="00DC7111"/>
    <w:rsid w:val="00DD5E7B"/>
    <w:rsid w:val="00DE5F08"/>
    <w:rsid w:val="00DE7DF7"/>
    <w:rsid w:val="00DF3948"/>
    <w:rsid w:val="00E05FD8"/>
    <w:rsid w:val="00E10895"/>
    <w:rsid w:val="00E10C93"/>
    <w:rsid w:val="00E12F9B"/>
    <w:rsid w:val="00E14FBD"/>
    <w:rsid w:val="00E153D7"/>
    <w:rsid w:val="00E22C28"/>
    <w:rsid w:val="00E24912"/>
    <w:rsid w:val="00E3525A"/>
    <w:rsid w:val="00E45A6C"/>
    <w:rsid w:val="00E46733"/>
    <w:rsid w:val="00E53273"/>
    <w:rsid w:val="00E53FF8"/>
    <w:rsid w:val="00E61DC0"/>
    <w:rsid w:val="00EB1BB7"/>
    <w:rsid w:val="00EC3DDB"/>
    <w:rsid w:val="00EF0C36"/>
    <w:rsid w:val="00F10808"/>
    <w:rsid w:val="00F62F52"/>
    <w:rsid w:val="00FB7B25"/>
    <w:rsid w:val="00FD2060"/>
    <w:rsid w:val="00FE3B70"/>
    <w:rsid w:val="00FF3034"/>
    <w:rsid w:val="00FF4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471D"/>
  <w15:chartTrackingRefBased/>
  <w15:docId w15:val="{9A9851F8-BA0D-4884-A3CD-A8F3CC66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A53"/>
  </w:style>
  <w:style w:type="paragraph" w:styleId="Footer">
    <w:name w:val="footer"/>
    <w:basedOn w:val="Normal"/>
    <w:link w:val="FooterChar"/>
    <w:uiPriority w:val="99"/>
    <w:unhideWhenUsed/>
    <w:rsid w:val="00380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A53"/>
  </w:style>
  <w:style w:type="character" w:styleId="CommentReference">
    <w:name w:val="annotation reference"/>
    <w:basedOn w:val="DefaultParagraphFont"/>
    <w:uiPriority w:val="99"/>
    <w:semiHidden/>
    <w:unhideWhenUsed/>
    <w:rsid w:val="00AF76B9"/>
    <w:rPr>
      <w:sz w:val="16"/>
      <w:szCs w:val="16"/>
    </w:rPr>
  </w:style>
  <w:style w:type="paragraph" w:styleId="CommentText">
    <w:name w:val="annotation text"/>
    <w:basedOn w:val="Normal"/>
    <w:link w:val="CommentTextChar"/>
    <w:uiPriority w:val="99"/>
    <w:semiHidden/>
    <w:unhideWhenUsed/>
    <w:rsid w:val="00AF76B9"/>
    <w:pPr>
      <w:spacing w:line="240" w:lineRule="auto"/>
    </w:pPr>
    <w:rPr>
      <w:sz w:val="20"/>
      <w:szCs w:val="20"/>
    </w:rPr>
  </w:style>
  <w:style w:type="character" w:customStyle="1" w:styleId="CommentTextChar">
    <w:name w:val="Comment Text Char"/>
    <w:basedOn w:val="DefaultParagraphFont"/>
    <w:link w:val="CommentText"/>
    <w:uiPriority w:val="99"/>
    <w:semiHidden/>
    <w:rsid w:val="00AF76B9"/>
    <w:rPr>
      <w:sz w:val="20"/>
      <w:szCs w:val="20"/>
    </w:rPr>
  </w:style>
  <w:style w:type="paragraph" w:styleId="CommentSubject">
    <w:name w:val="annotation subject"/>
    <w:basedOn w:val="CommentText"/>
    <w:next w:val="CommentText"/>
    <w:link w:val="CommentSubjectChar"/>
    <w:uiPriority w:val="99"/>
    <w:semiHidden/>
    <w:unhideWhenUsed/>
    <w:rsid w:val="00AF76B9"/>
    <w:rPr>
      <w:b/>
      <w:bCs/>
    </w:rPr>
  </w:style>
  <w:style w:type="character" w:customStyle="1" w:styleId="CommentSubjectChar">
    <w:name w:val="Comment Subject Char"/>
    <w:basedOn w:val="CommentTextChar"/>
    <w:link w:val="CommentSubject"/>
    <w:uiPriority w:val="99"/>
    <w:semiHidden/>
    <w:rsid w:val="00AF76B9"/>
    <w:rPr>
      <w:b/>
      <w:bCs/>
      <w:sz w:val="20"/>
      <w:szCs w:val="20"/>
    </w:rPr>
  </w:style>
  <w:style w:type="paragraph" w:styleId="BalloonText">
    <w:name w:val="Balloon Text"/>
    <w:basedOn w:val="Normal"/>
    <w:link w:val="BalloonTextChar"/>
    <w:uiPriority w:val="99"/>
    <w:semiHidden/>
    <w:unhideWhenUsed/>
    <w:rsid w:val="00AF7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6B9"/>
    <w:rPr>
      <w:rFonts w:ascii="Segoe UI" w:hAnsi="Segoe UI" w:cs="Segoe UI"/>
      <w:sz w:val="18"/>
      <w:szCs w:val="18"/>
    </w:rPr>
  </w:style>
  <w:style w:type="paragraph" w:styleId="ListParagraph">
    <w:name w:val="List Paragraph"/>
    <w:basedOn w:val="Normal"/>
    <w:uiPriority w:val="34"/>
    <w:qFormat/>
    <w:rsid w:val="00865CBE"/>
    <w:pPr>
      <w:ind w:left="720"/>
      <w:contextualSpacing/>
    </w:pPr>
  </w:style>
  <w:style w:type="paragraph" w:styleId="NormalWeb">
    <w:name w:val="Normal (Web)"/>
    <w:basedOn w:val="Normal"/>
    <w:uiPriority w:val="99"/>
    <w:semiHidden/>
    <w:unhideWhenUsed/>
    <w:rsid w:val="00E61D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list2">
    <w:name w:val="Bullet list 2"/>
    <w:basedOn w:val="Normal"/>
    <w:qFormat/>
    <w:rsid w:val="00B05E5F"/>
    <w:pPr>
      <w:numPr>
        <w:numId w:val="3"/>
      </w:numPr>
      <w:spacing w:after="240" w:line="264" w:lineRule="auto"/>
    </w:pPr>
    <w:rPr>
      <w:rFonts w:ascii="Arial" w:eastAsia="Times New Roman" w:hAnsi="Arial" w:cs="Arial"/>
      <w:noProof/>
      <w:sz w:val="24"/>
      <w:lang w:bidi="he-IL"/>
    </w:rPr>
  </w:style>
  <w:style w:type="paragraph" w:customStyle="1" w:styleId="Bulletlist3">
    <w:name w:val="Bullet list 3"/>
    <w:basedOn w:val="Normal"/>
    <w:qFormat/>
    <w:rsid w:val="003270F6"/>
    <w:pPr>
      <w:numPr>
        <w:numId w:val="4"/>
      </w:numPr>
      <w:spacing w:after="240" w:line="264" w:lineRule="auto"/>
      <w:ind w:left="1191" w:hanging="397"/>
    </w:pPr>
    <w:rPr>
      <w:rFonts w:ascii="Arial" w:eastAsia="Times New Roman" w:hAnsi="Arial" w:cs="Arial"/>
      <w:noProof/>
      <w:sz w:val="24"/>
      <w:lang w:bidi="he-IL"/>
    </w:rPr>
  </w:style>
  <w:style w:type="character" w:styleId="FootnoteReference">
    <w:name w:val="footnote reference"/>
    <w:uiPriority w:val="99"/>
    <w:rsid w:val="005B4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1922">
      <w:bodyDiv w:val="1"/>
      <w:marLeft w:val="0"/>
      <w:marRight w:val="0"/>
      <w:marTop w:val="0"/>
      <w:marBottom w:val="0"/>
      <w:divBdr>
        <w:top w:val="none" w:sz="0" w:space="0" w:color="auto"/>
        <w:left w:val="none" w:sz="0" w:space="0" w:color="auto"/>
        <w:bottom w:val="none" w:sz="0" w:space="0" w:color="auto"/>
        <w:right w:val="none" w:sz="0" w:space="0" w:color="auto"/>
      </w:divBdr>
    </w:div>
    <w:div w:id="192351879">
      <w:bodyDiv w:val="1"/>
      <w:marLeft w:val="0"/>
      <w:marRight w:val="0"/>
      <w:marTop w:val="0"/>
      <w:marBottom w:val="0"/>
      <w:divBdr>
        <w:top w:val="none" w:sz="0" w:space="0" w:color="auto"/>
        <w:left w:val="none" w:sz="0" w:space="0" w:color="auto"/>
        <w:bottom w:val="none" w:sz="0" w:space="0" w:color="auto"/>
        <w:right w:val="none" w:sz="0" w:space="0" w:color="auto"/>
      </w:divBdr>
    </w:div>
    <w:div w:id="217279836">
      <w:bodyDiv w:val="1"/>
      <w:marLeft w:val="0"/>
      <w:marRight w:val="0"/>
      <w:marTop w:val="0"/>
      <w:marBottom w:val="0"/>
      <w:divBdr>
        <w:top w:val="none" w:sz="0" w:space="0" w:color="auto"/>
        <w:left w:val="none" w:sz="0" w:space="0" w:color="auto"/>
        <w:bottom w:val="none" w:sz="0" w:space="0" w:color="auto"/>
        <w:right w:val="none" w:sz="0" w:space="0" w:color="auto"/>
      </w:divBdr>
    </w:div>
    <w:div w:id="272173182">
      <w:bodyDiv w:val="1"/>
      <w:marLeft w:val="0"/>
      <w:marRight w:val="0"/>
      <w:marTop w:val="0"/>
      <w:marBottom w:val="0"/>
      <w:divBdr>
        <w:top w:val="none" w:sz="0" w:space="0" w:color="auto"/>
        <w:left w:val="none" w:sz="0" w:space="0" w:color="auto"/>
        <w:bottom w:val="none" w:sz="0" w:space="0" w:color="auto"/>
        <w:right w:val="none" w:sz="0" w:space="0" w:color="auto"/>
      </w:divBdr>
    </w:div>
    <w:div w:id="289822619">
      <w:bodyDiv w:val="1"/>
      <w:marLeft w:val="0"/>
      <w:marRight w:val="0"/>
      <w:marTop w:val="0"/>
      <w:marBottom w:val="0"/>
      <w:divBdr>
        <w:top w:val="none" w:sz="0" w:space="0" w:color="auto"/>
        <w:left w:val="none" w:sz="0" w:space="0" w:color="auto"/>
        <w:bottom w:val="none" w:sz="0" w:space="0" w:color="auto"/>
        <w:right w:val="none" w:sz="0" w:space="0" w:color="auto"/>
      </w:divBdr>
    </w:div>
    <w:div w:id="806780789">
      <w:bodyDiv w:val="1"/>
      <w:marLeft w:val="0"/>
      <w:marRight w:val="0"/>
      <w:marTop w:val="0"/>
      <w:marBottom w:val="0"/>
      <w:divBdr>
        <w:top w:val="none" w:sz="0" w:space="0" w:color="auto"/>
        <w:left w:val="none" w:sz="0" w:space="0" w:color="auto"/>
        <w:bottom w:val="none" w:sz="0" w:space="0" w:color="auto"/>
        <w:right w:val="none" w:sz="0" w:space="0" w:color="auto"/>
      </w:divBdr>
    </w:div>
    <w:div w:id="890120890">
      <w:bodyDiv w:val="1"/>
      <w:marLeft w:val="0"/>
      <w:marRight w:val="0"/>
      <w:marTop w:val="0"/>
      <w:marBottom w:val="0"/>
      <w:divBdr>
        <w:top w:val="none" w:sz="0" w:space="0" w:color="auto"/>
        <w:left w:val="none" w:sz="0" w:space="0" w:color="auto"/>
        <w:bottom w:val="none" w:sz="0" w:space="0" w:color="auto"/>
        <w:right w:val="none" w:sz="0" w:space="0" w:color="auto"/>
      </w:divBdr>
    </w:div>
    <w:div w:id="1776754529">
      <w:bodyDiv w:val="1"/>
      <w:marLeft w:val="0"/>
      <w:marRight w:val="0"/>
      <w:marTop w:val="0"/>
      <w:marBottom w:val="0"/>
      <w:divBdr>
        <w:top w:val="none" w:sz="0" w:space="0" w:color="auto"/>
        <w:left w:val="none" w:sz="0" w:space="0" w:color="auto"/>
        <w:bottom w:val="none" w:sz="0" w:space="0" w:color="auto"/>
        <w:right w:val="none" w:sz="0" w:space="0" w:color="auto"/>
      </w:divBdr>
      <w:divsChild>
        <w:div w:id="41639057">
          <w:marLeft w:val="562"/>
          <w:marRight w:val="0"/>
          <w:marTop w:val="0"/>
          <w:marBottom w:val="0"/>
          <w:divBdr>
            <w:top w:val="none" w:sz="0" w:space="0" w:color="auto"/>
            <w:left w:val="none" w:sz="0" w:space="0" w:color="auto"/>
            <w:bottom w:val="none" w:sz="0" w:space="0" w:color="auto"/>
            <w:right w:val="none" w:sz="0" w:space="0" w:color="auto"/>
          </w:divBdr>
        </w:div>
        <w:div w:id="414401714">
          <w:marLeft w:val="562"/>
          <w:marRight w:val="0"/>
          <w:marTop w:val="0"/>
          <w:marBottom w:val="0"/>
          <w:divBdr>
            <w:top w:val="none" w:sz="0" w:space="0" w:color="auto"/>
            <w:left w:val="none" w:sz="0" w:space="0" w:color="auto"/>
            <w:bottom w:val="none" w:sz="0" w:space="0" w:color="auto"/>
            <w:right w:val="none" w:sz="0" w:space="0" w:color="auto"/>
          </w:divBdr>
        </w:div>
        <w:div w:id="593050607">
          <w:marLeft w:val="562"/>
          <w:marRight w:val="0"/>
          <w:marTop w:val="0"/>
          <w:marBottom w:val="0"/>
          <w:divBdr>
            <w:top w:val="none" w:sz="0" w:space="0" w:color="auto"/>
            <w:left w:val="none" w:sz="0" w:space="0" w:color="auto"/>
            <w:bottom w:val="none" w:sz="0" w:space="0" w:color="auto"/>
            <w:right w:val="none" w:sz="0" w:space="0" w:color="auto"/>
          </w:divBdr>
        </w:div>
      </w:divsChild>
    </w:div>
    <w:div w:id="1785148489">
      <w:bodyDiv w:val="1"/>
      <w:marLeft w:val="0"/>
      <w:marRight w:val="0"/>
      <w:marTop w:val="0"/>
      <w:marBottom w:val="0"/>
      <w:divBdr>
        <w:top w:val="none" w:sz="0" w:space="0" w:color="auto"/>
        <w:left w:val="none" w:sz="0" w:space="0" w:color="auto"/>
        <w:bottom w:val="none" w:sz="0" w:space="0" w:color="auto"/>
        <w:right w:val="none" w:sz="0" w:space="0" w:color="auto"/>
      </w:divBdr>
    </w:div>
    <w:div w:id="1870290039">
      <w:bodyDiv w:val="1"/>
      <w:marLeft w:val="0"/>
      <w:marRight w:val="0"/>
      <w:marTop w:val="0"/>
      <w:marBottom w:val="0"/>
      <w:divBdr>
        <w:top w:val="none" w:sz="0" w:space="0" w:color="auto"/>
        <w:left w:val="none" w:sz="0" w:space="0" w:color="auto"/>
        <w:bottom w:val="none" w:sz="0" w:space="0" w:color="auto"/>
        <w:right w:val="none" w:sz="0" w:space="0" w:color="auto"/>
      </w:divBdr>
    </w:div>
    <w:div w:id="1913850482">
      <w:bodyDiv w:val="1"/>
      <w:marLeft w:val="0"/>
      <w:marRight w:val="0"/>
      <w:marTop w:val="0"/>
      <w:marBottom w:val="0"/>
      <w:divBdr>
        <w:top w:val="none" w:sz="0" w:space="0" w:color="auto"/>
        <w:left w:val="none" w:sz="0" w:space="0" w:color="auto"/>
        <w:bottom w:val="none" w:sz="0" w:space="0" w:color="auto"/>
        <w:right w:val="none" w:sz="0" w:space="0" w:color="auto"/>
      </w:divBdr>
    </w:div>
    <w:div w:id="20384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4" ma:contentTypeDescription="Create a new document." ma:contentTypeScope="" ma:versionID="f47cfdf849e6ae04e72b8bf55432fc19">
  <xsd:schema xmlns:xsd="http://www.w3.org/2001/XMLSchema" xmlns:xs="http://www.w3.org/2001/XMLSchema" xmlns:p="http://schemas.microsoft.com/office/2006/metadata/properties" xmlns:ns3="566da5a4-d48f-40cf-a1d2-d16f98b04b10" targetNamespace="http://schemas.microsoft.com/office/2006/metadata/properties" ma:root="true" ma:fieldsID="3cc786e6959abde822c5d3fe741b4a01"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74625-E5A5-479E-8F31-1DB769C0F68A}">
  <ds:schemaRefs>
    <ds:schemaRef ds:uri="http://schemas.microsoft.com/office/2006/metadata/properties"/>
    <ds:schemaRef ds:uri="http://www.w3.org/XML/1998/namespace"/>
    <ds:schemaRef ds:uri="http://purl.org/dc/elements/1.1/"/>
    <ds:schemaRef ds:uri="566da5a4-d48f-40cf-a1d2-d16f98b04b10"/>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316DE0B0-59F6-4FB2-A9CC-DCE0A5B43526}">
  <ds:schemaRefs>
    <ds:schemaRef ds:uri="http://schemas.microsoft.com/sharepoint/v3/contenttype/forms"/>
  </ds:schemaRefs>
</ds:datastoreItem>
</file>

<file path=customXml/itemProps3.xml><?xml version="1.0" encoding="utf-8"?>
<ds:datastoreItem xmlns:ds="http://schemas.openxmlformats.org/officeDocument/2006/customXml" ds:itemID="{1007B549-0F6A-4F1F-B141-1EE3B2DB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652D9-E2A5-40F4-BECC-6C3BE9F9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Rosie</dc:creator>
  <cp:keywords/>
  <dc:description/>
  <cp:lastModifiedBy>Priestley, Ben</cp:lastModifiedBy>
  <cp:revision>2</cp:revision>
  <dcterms:created xsi:type="dcterms:W3CDTF">2020-09-24T11:08:00Z</dcterms:created>
  <dcterms:modified xsi:type="dcterms:W3CDTF">2020-09-24T11:08:00Z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