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D89C" w14:textId="77777777" w:rsidR="000B548A" w:rsidRPr="000B548A" w:rsidRDefault="000B548A" w:rsidP="000B548A">
      <w:pPr>
        <w:spacing w:after="200"/>
        <w:jc w:val="center"/>
        <w:rPr>
          <w:rFonts w:ascii="Arial" w:eastAsia="Times New Roman" w:hAnsi="Arial" w:cs="Arial"/>
          <w:lang w:eastAsia="en-GB"/>
        </w:rPr>
      </w:pPr>
      <w:r w:rsidRPr="000B548A">
        <w:rPr>
          <w:rFonts w:ascii="Arial" w:eastAsia="Times New Roman" w:hAnsi="Arial" w:cs="Arial"/>
          <w:b/>
          <w:bCs/>
          <w:color w:val="000000"/>
          <w:sz w:val="48"/>
          <w:szCs w:val="48"/>
          <w:lang w:eastAsia="en-GB"/>
        </w:rPr>
        <w:t>Transgender workers’ rights</w:t>
      </w:r>
    </w:p>
    <w:p w14:paraId="5095873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This factsheet gives information about the rights of transgender workers and good practice for employers and UNISON branches. It provides information on terminology, the law, support for trans members and negotiating checklists. In UNISON, transgender members organise together with lesbian, gay and bisexual members. There are many areas of common concern, but important areas of difference. There is a separate factsheet on </w:t>
      </w:r>
      <w:r w:rsidRPr="000B548A">
        <w:rPr>
          <w:rFonts w:ascii="Arial" w:eastAsia="Times New Roman" w:hAnsi="Arial" w:cs="Arial"/>
          <w:i/>
          <w:iCs/>
          <w:color w:val="000000"/>
          <w:lang w:eastAsia="en-GB"/>
        </w:rPr>
        <w:t>Lesbian, gay and bisexual workers rights.</w:t>
      </w:r>
    </w:p>
    <w:p w14:paraId="1370A80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Introduction</w:t>
      </w:r>
    </w:p>
    <w:p w14:paraId="63EA57E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 transgender person is someone whose gender does not conform to the sex they were assigned at birth.  Many transgender people wish to change their name and personal details and live as the gender with which they identify. The process is referred to as ‘gender reassignment’ or ‘transitioning’.</w:t>
      </w:r>
    </w:p>
    <w:p w14:paraId="303BFAF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face discrimination, despite the fact it is unlawful.  An evidence review commissioned by the Government Equalities Office, published by the National Institute of Economic and Social Research in July 2016, showed discrimination in recruitment and promotion, with many trans people working below the level of their education and qualifications.  Many trans people (up to 50% of respondents) experienced harassment and bullying at work.  They reported extremely poor service from HR departments, lack of understanding of trans issues by managers and little support when they faced discrimination and harassment.  Consequences of this include restricted job choice, reduced progression and inability to be out at work.</w:t>
      </w:r>
    </w:p>
    <w:p w14:paraId="08177D5F"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UNISON policy</w:t>
      </w:r>
    </w:p>
    <w:p w14:paraId="08315C5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All transgender people have the right to equal treatment, protection from discrimination and the full support of the union.  This is written into UNISON’s rules, for example Rule B1.2.  Transgender members have the right not to be discriminated against by UNISON policies, practices, members or officers.  Allegations of discrimination will be taken very seriously.  </w:t>
      </w:r>
    </w:p>
    <w:p w14:paraId="1AA3CB14" w14:textId="77777777" w:rsid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Branches need to be aware of trans equality issues and negotiate policies </w:t>
      </w:r>
      <w:r w:rsidRPr="000B548A">
        <w:rPr>
          <w:rFonts w:ascii="Arial" w:eastAsia="Times New Roman" w:hAnsi="Arial" w:cs="Arial"/>
          <w:i/>
          <w:iCs/>
          <w:color w:val="000000"/>
          <w:lang w:eastAsia="en-GB"/>
        </w:rPr>
        <w:t xml:space="preserve">before </w:t>
      </w:r>
      <w:r w:rsidRPr="000B548A">
        <w:rPr>
          <w:rFonts w:ascii="Arial" w:eastAsia="Times New Roman" w:hAnsi="Arial" w:cs="Arial"/>
          <w:color w:val="000000"/>
          <w:lang w:eastAsia="en-GB"/>
        </w:rPr>
        <w:t>one of their members or potential members experiences difficulties.</w:t>
      </w:r>
    </w:p>
    <w:p w14:paraId="2BD19BEE" w14:textId="363E99EC"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sz w:val="36"/>
          <w:szCs w:val="36"/>
          <w:lang w:eastAsia="en-GB"/>
        </w:rPr>
        <w:lastRenderedPageBreak/>
        <w:t>Definitions</w:t>
      </w:r>
    </w:p>
    <w:p w14:paraId="2357C5E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identity</w:t>
      </w:r>
      <w:r w:rsidRPr="000B548A">
        <w:rPr>
          <w:rFonts w:ascii="Arial" w:eastAsia="Times New Roman" w:hAnsi="Arial" w:cs="Arial"/>
          <w:color w:val="000000"/>
          <w:lang w:eastAsia="en-GB"/>
        </w:rPr>
        <w:t>: a person’s deeply felt internal and individual experience of gender, which may or may not correspond to the sex assigned to them at birth</w:t>
      </w:r>
    </w:p>
    <w:p w14:paraId="794F79C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 expression: </w:t>
      </w:r>
      <w:r w:rsidRPr="000B548A">
        <w:rPr>
          <w:rFonts w:ascii="Arial" w:eastAsia="Times New Roman" w:hAnsi="Arial" w:cs="Arial"/>
          <w:color w:val="000000"/>
          <w:lang w:eastAsia="en-GB"/>
        </w:rPr>
        <w:t>a person’s external gender-related behaviour and appearance, including clothing</w:t>
      </w:r>
    </w:p>
    <w:p w14:paraId="790042E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Transgender or trans person</w:t>
      </w:r>
      <w:r w:rsidRPr="000B548A">
        <w:rPr>
          <w:rFonts w:ascii="Arial" w:eastAsia="Times New Roman" w:hAnsi="Arial" w:cs="Arial"/>
          <w:color w:val="000000"/>
          <w:lang w:eastAsia="en-GB"/>
        </w:rPr>
        <w:t>: a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male</w:t>
      </w:r>
    </w:p>
    <w:p w14:paraId="1A136FF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binary</w:t>
      </w:r>
      <w:r w:rsidRPr="000B548A">
        <w:rPr>
          <w:rFonts w:ascii="Arial" w:eastAsia="Times New Roman" w:hAnsi="Arial" w:cs="Arial"/>
          <w:color w:val="000000"/>
          <w:lang w:eastAsia="en-GB"/>
        </w:rPr>
        <w:t>: the classification of sex and gender into two distinct and disconnected ‘opposite’ forms of masculine and feminine </w:t>
      </w:r>
    </w:p>
    <w:p w14:paraId="76BAF45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variance</w:t>
      </w:r>
      <w:r w:rsidRPr="000B548A">
        <w:rPr>
          <w:rFonts w:ascii="Arial" w:eastAsia="Times New Roman" w:hAnsi="Arial" w:cs="Arial"/>
          <w:color w:val="000000"/>
          <w:lang w:eastAsia="en-GB"/>
        </w:rPr>
        <w:t>: gender expression that does not match society’s norms of female and male</w:t>
      </w:r>
    </w:p>
    <w:p w14:paraId="7D3C0AA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Non-binary person</w:t>
      </w:r>
      <w:r w:rsidRPr="000B548A">
        <w:rPr>
          <w:rFonts w:ascii="Arial" w:eastAsia="Times New Roman" w:hAnsi="Arial" w:cs="Arial"/>
          <w:color w:val="000000"/>
          <w:lang w:eastAsia="en-GB"/>
        </w:rPr>
        <w:t>:</w:t>
      </w:r>
      <w:r w:rsidRPr="000B548A">
        <w:rPr>
          <w:rFonts w:ascii="Arial" w:eastAsia="Times New Roman" w:hAnsi="Arial" w:cs="Arial"/>
          <w:color w:val="000000"/>
          <w:sz w:val="28"/>
          <w:szCs w:val="28"/>
          <w:lang w:eastAsia="en-GB"/>
        </w:rPr>
        <w:t xml:space="preserve"> </w:t>
      </w:r>
      <w:r w:rsidRPr="000B548A">
        <w:rPr>
          <w:rFonts w:ascii="Arial" w:eastAsia="Times New Roman" w:hAnsi="Arial" w:cs="Arial"/>
          <w:color w:val="000000"/>
          <w:lang w:eastAsia="en-GB"/>
        </w:rPr>
        <w:t>a person who does not identify as solely male or female.  They may identify as both, neither or something entirely different</w:t>
      </w:r>
    </w:p>
    <w:p w14:paraId="0372E99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 fluid:  </w:t>
      </w:r>
      <w:r w:rsidRPr="000B548A">
        <w:rPr>
          <w:rFonts w:ascii="Arial" w:eastAsia="Times New Roman" w:hAnsi="Arial" w:cs="Arial"/>
          <w:color w:val="000000"/>
          <w:lang w:eastAsia="en-GB"/>
        </w:rPr>
        <w:t>having a</w:t>
      </w:r>
      <w:r w:rsidRPr="000B548A">
        <w:rPr>
          <w:rFonts w:ascii="Arial" w:eastAsia="Times New Roman" w:hAnsi="Arial" w:cs="Arial"/>
          <w:b/>
          <w:bCs/>
          <w:color w:val="000000"/>
          <w:lang w:eastAsia="en-GB"/>
        </w:rPr>
        <w:t xml:space="preserve"> </w:t>
      </w:r>
      <w:r w:rsidRPr="000B548A">
        <w:rPr>
          <w:rFonts w:ascii="Arial" w:eastAsia="Times New Roman" w:hAnsi="Arial" w:cs="Arial"/>
          <w:color w:val="000000"/>
          <w:lang w:eastAsia="en-GB"/>
        </w:rPr>
        <w:t>gender identity which varies over time</w:t>
      </w:r>
    </w:p>
    <w:p w14:paraId="6A771B3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Transsexual person</w:t>
      </w:r>
      <w:r w:rsidRPr="000B548A">
        <w:rPr>
          <w:rFonts w:ascii="Arial" w:eastAsia="Times New Roman" w:hAnsi="Arial" w:cs="Arial"/>
          <w:color w:val="000000"/>
          <w:lang w:eastAsia="en-GB"/>
        </w:rPr>
        <w:t>: legal/medical term for someone who lives (or wishes to live) permanently in the ‘opposite’ gender to that assigned at birth</w:t>
      </w:r>
    </w:p>
    <w:p w14:paraId="765D02D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dysphoria</w:t>
      </w:r>
      <w:r w:rsidRPr="000B548A">
        <w:rPr>
          <w:rFonts w:ascii="Arial" w:eastAsia="Times New Roman" w:hAnsi="Arial" w:cs="Arial"/>
          <w:color w:val="000000"/>
          <w:lang w:eastAsia="en-GB"/>
        </w:rPr>
        <w:t>: medical term for deep-rooted and serious discomfort or distress because of a mismatch between a person’s biological sex and gender identity;</w:t>
      </w:r>
      <w:r w:rsidRPr="000B548A">
        <w:rPr>
          <w:rFonts w:ascii="Arial" w:eastAsia="Times New Roman" w:hAnsi="Arial" w:cs="Arial"/>
          <w:b/>
          <w:bCs/>
          <w:color w:val="000000"/>
          <w:sz w:val="26"/>
          <w:szCs w:val="26"/>
          <w:lang w:eastAsia="en-GB"/>
        </w:rPr>
        <w:t xml:space="preserve"> </w:t>
      </w:r>
      <w:r w:rsidRPr="000B548A">
        <w:rPr>
          <w:rFonts w:ascii="Arial" w:eastAsia="Times New Roman" w:hAnsi="Arial" w:cs="Arial"/>
          <w:color w:val="000000"/>
          <w:lang w:eastAsia="en-GB"/>
        </w:rPr>
        <w:t>overwhelming desire to live in a different gender to that assigned at birth</w:t>
      </w:r>
    </w:p>
    <w:p w14:paraId="69440DA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reassignment</w:t>
      </w:r>
      <w:r w:rsidRPr="000B548A">
        <w:rPr>
          <w:rFonts w:ascii="Arial" w:eastAsia="Times New Roman" w:hAnsi="Arial" w:cs="Arial"/>
          <w:color w:val="000000"/>
          <w:lang w:eastAsia="en-GB"/>
        </w:rPr>
        <w:t>:  the process of transitioning from the gender assigned at birth to the correct gender.  This may (or may not) involve medical and surgical procedures.</w:t>
      </w:r>
    </w:p>
    <w:p w14:paraId="72CDE95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Legal sex</w:t>
      </w:r>
      <w:r w:rsidRPr="000B548A">
        <w:rPr>
          <w:rFonts w:ascii="Arial" w:eastAsia="Times New Roman" w:hAnsi="Arial" w:cs="Arial"/>
          <w:color w:val="000000"/>
          <w:lang w:eastAsia="en-GB"/>
        </w:rPr>
        <w:t>:  The sex recorded on your birth certificate.  Rarely relevant at work.  Currently binary in the UK. Changed by applying to Gender Recognition Panel.</w:t>
      </w:r>
    </w:p>
    <w:p w14:paraId="607D5E4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lastRenderedPageBreak/>
        <w:t>Gender Recognition Certificate</w:t>
      </w:r>
      <w:r w:rsidRPr="000B548A">
        <w:rPr>
          <w:rFonts w:ascii="Arial" w:eastAsia="Times New Roman" w:hAnsi="Arial" w:cs="Arial"/>
          <w:color w:val="000000"/>
          <w:lang w:eastAsia="en-GB"/>
        </w:rPr>
        <w:t>:  issued by the Gender Recognition Panel – signifies full legal rights in acquired gender and allows the issuing of a replacement birth certificate.</w:t>
      </w:r>
    </w:p>
    <w:p w14:paraId="11A56D7B" w14:textId="77777777" w:rsidR="000B548A" w:rsidRDefault="000B548A" w:rsidP="000B548A">
      <w:pPr>
        <w:spacing w:after="200"/>
        <w:rPr>
          <w:rFonts w:ascii="Arial" w:eastAsia="Times New Roman" w:hAnsi="Arial" w:cs="Arial"/>
          <w:color w:val="000000"/>
          <w:sz w:val="36"/>
          <w:szCs w:val="36"/>
          <w:lang w:eastAsia="en-GB"/>
        </w:rPr>
      </w:pPr>
    </w:p>
    <w:p w14:paraId="4495F7E5" w14:textId="18B277AA"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Summary of the law</w:t>
      </w:r>
    </w:p>
    <w:p w14:paraId="4853F7F0"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b/>
          <w:bCs/>
          <w:color w:val="000000"/>
          <w:lang w:eastAsia="en-GB"/>
        </w:rPr>
        <w:t>Gender Recognition Act 2004</w:t>
      </w:r>
    </w:p>
    <w:p w14:paraId="585B93A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Gender Recognition Act enables people over eighteen to gain full legal recognition for the binary gender (female or male) in which they live.  Applications are considered by the Gender Recognition Panel.  Once a person receives a Gender Recognition Certificate (GRC), they are legally of that gender for every purpose and have all the rights and responsibilities associated with that gender.  </w:t>
      </w:r>
    </w:p>
    <w:p w14:paraId="4C3CED0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Many trans people do not apply for a GRC. They may not wish to or they may not be able to, for a range of personal reasons.  There is currently no legal category for people with a gender identity outside the binary. The 2016 Commons Select Committee report on transgender equality called on the government to look into this.  </w:t>
      </w:r>
    </w:p>
    <w:p w14:paraId="585DDA37"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It’s important to know that employment rights do not depend on whether a person has a GRC. Employers should not ask for a person’s GRC and it can never be a pre-condition for transitioning at work. To apply for a GRC, a person needs to show they have been living in that gender for at least two years.  So being asked to show a GRC as a condition of changing employment details is like being asked to show a full driving licence before you can apply for a provisional one.</w:t>
      </w:r>
    </w:p>
    <w:p w14:paraId="2389646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Equality Act 2010</w:t>
      </w:r>
    </w:p>
    <w:p w14:paraId="68DE410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Equality Act 2010 (England, Scotland and Wales) protects against discrimination because of gender reassignment in employment and service delivery.  It covers all sizes and types of employer and all types of worker, including agency, contract and temporary workers. It bans direct and indirect discrimination and victimisation.   The Sex Discrimination (Gender Reassignment) Regulations (NI) 1999 provide similar protection in Northern Ireland.</w:t>
      </w:r>
    </w:p>
    <w:p w14:paraId="317263F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The Act makes clear that it is not necessary for people to have any medical diagnosis or treatment to gain protection; it is a </w:t>
      </w:r>
      <w:r w:rsidRPr="000B548A">
        <w:rPr>
          <w:rFonts w:ascii="Arial" w:eastAsia="Times New Roman" w:hAnsi="Arial" w:cs="Arial"/>
          <w:i/>
          <w:iCs/>
          <w:color w:val="000000"/>
          <w:lang w:eastAsia="en-GB"/>
        </w:rPr>
        <w:t>personal</w:t>
      </w:r>
      <w:r w:rsidRPr="000B548A">
        <w:rPr>
          <w:rFonts w:ascii="Arial" w:eastAsia="Times New Roman" w:hAnsi="Arial" w:cs="Arial"/>
          <w:color w:val="000000"/>
          <w:lang w:eastAsia="en-GB"/>
        </w:rPr>
        <w:t xml:space="preserve"> process of moving away from one’s birth </w:t>
      </w:r>
      <w:r w:rsidRPr="000B548A">
        <w:rPr>
          <w:rFonts w:ascii="Arial" w:eastAsia="Times New Roman" w:hAnsi="Arial" w:cs="Arial"/>
          <w:color w:val="000000"/>
          <w:lang w:eastAsia="en-GB"/>
        </w:rPr>
        <w:lastRenderedPageBreak/>
        <w:t>gender to one’s self-identified gender.  A person remains protected, even if they consider and then decide not to transition. </w:t>
      </w:r>
    </w:p>
    <w:p w14:paraId="0C70F4B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People discriminated against because they are wrongly perceived to be trans, or who are discriminated against because of their association with trans people or issues, are also protected.</w:t>
      </w:r>
    </w:p>
    <w:p w14:paraId="6467B92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Summary of employment protection:</w:t>
      </w:r>
    </w:p>
    <w:p w14:paraId="7A364C3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discriminate against a person for the purpose of employment (recruitment, promotion, access to benefits, selection for redundancy, vocational training etc) because that person intends to undergo gender reassignment, is undergoing gender reassignment or has undergone gender reassignment. </w:t>
      </w:r>
    </w:p>
    <w:p w14:paraId="10165497"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employer is automatically liable for discriminatory actions by anyone acting on their behalf, whether or not it was done with their knowledge, unless the employer can show that they had taken all reasonable steps to prevent such actions.  </w:t>
      </w:r>
    </w:p>
    <w:p w14:paraId="43B7D55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make sure that transgender workers are recognised and respected as the gender in which they attend work.  This is whether or not they have medical treatment or acquire a Gender Recognition Certificate. Recognition of a change of gender at work is usually from when the person begins living in their new gender. </w:t>
      </w:r>
    </w:p>
    <w:p w14:paraId="7E800BB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people do not transition permanently from one binary gender to the other.  Increasingly, employers are recognising non-binary or gender fluid identities and accommodating these at work.  The key point is that the trans member is an individual and should be listened to and respected as such, rather than assumptions being made.</w:t>
      </w:r>
    </w:p>
    <w:p w14:paraId="114E9CF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should have equal rights and equal access to benefits, including equal recognition of their partner and family. </w:t>
      </w:r>
    </w:p>
    <w:p w14:paraId="0FE9553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All contracts and agreements should be checked for possible discrimination.</w:t>
      </w:r>
    </w:p>
    <w:p w14:paraId="0577583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Public sector equality duty</w:t>
      </w:r>
    </w:p>
    <w:p w14:paraId="4E7F9D5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Public bodies in England, Scotland and Wales have a statutory duty to have due regard to the need to eliminate discrimination, advance equality of opportunity and foster good relations for transgender people.  A similar duty is in force in Northern Ireland.</w:t>
      </w:r>
    </w:p>
    <w:p w14:paraId="10C3829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This means consciously thinking about the three equality duty aims as part of decision-making, including on employment, service delivery, financial decisions, cuts and redundancies. It may involve treating some people better than others to combat historic disadvantage.  </w:t>
      </w:r>
    </w:p>
    <w:p w14:paraId="3774F9D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UNISON’s advice on the public sector equality duty is stock number 3814 and on the UNISON website.</w:t>
      </w:r>
    </w:p>
    <w:p w14:paraId="1DA0E4E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Harassment</w:t>
      </w:r>
    </w:p>
    <w:p w14:paraId="40793B5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The Equality Act specifically outlaws harassment.  It does not matter whether or not a harasser </w:t>
      </w:r>
      <w:r w:rsidRPr="000B548A">
        <w:rPr>
          <w:rFonts w:ascii="Arial" w:eastAsia="Times New Roman" w:hAnsi="Arial" w:cs="Arial"/>
          <w:i/>
          <w:iCs/>
          <w:color w:val="000000"/>
          <w:lang w:eastAsia="en-GB"/>
        </w:rPr>
        <w:t>intended</w:t>
      </w:r>
      <w:r w:rsidRPr="000B548A">
        <w:rPr>
          <w:rFonts w:ascii="Arial" w:eastAsia="Times New Roman" w:hAnsi="Arial" w:cs="Arial"/>
          <w:color w:val="000000"/>
          <w:lang w:eastAsia="en-GB"/>
        </w:rPr>
        <w:t xml:space="preserve"> their behaviour to be offensive - the effect is just as important.  Harassment does not have to be targeted at a particular person who is known or thought to be trans.  It is enough that transphobic language, imagery, ‘jokes’ or actions violate a person’s dignity or create a hostile environment.  Branches should ensure the harassment policy includes specific reference to gender identity and gender reassignment.  UNISON’s guide on harassment at work is stock number 1359. </w:t>
      </w:r>
    </w:p>
    <w:p w14:paraId="05E5796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Occupational requirements</w:t>
      </w:r>
    </w:p>
    <w:p w14:paraId="4F6E47B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In the vast majority of cases, a worker’s gender is of no relevance to their ability to do a particular job.  However, the Equality Act 2010 does allow for an exception where being of a particular sex is an ‘occupational requirement’ of that post.  It might apply where the work necessarily involves conducting intimate searches, or where services are provided to one gender only, such as a women’s refuge.  </w:t>
      </w:r>
    </w:p>
    <w:p w14:paraId="54C3252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Act makes it clear that the employer must act reasonably.  For example, conducting intimate searches is unlikely to be a main part of any post.  The employer must consider whether the tasks could be carried out by someone else.  Any occupational requirement must be identified at the beginning of the recruitment process and stated in the application pack.</w:t>
      </w:r>
    </w:p>
    <w:p w14:paraId="5D744C6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If a member intending to transition works in a single sex position or organisation, it is probably best to negotiate redeployment.  Discuss options early on, to reach the best outcome.</w:t>
      </w:r>
    </w:p>
    <w:p w14:paraId="51A447C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Don’t forget that a person with a Gender Recognition Certificate is legally of that sex for all purposes.  </w:t>
      </w:r>
    </w:p>
    <w:p w14:paraId="2662DC9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There are an even smaller number of cases where an employer may be able to claim an occupational requirement that the postholder not be transsexual.  They will need to show that applying the requirement is a proportionate means of achieving a legitimate aim – it must be crucial to the post and not a sham or pretext.</w:t>
      </w:r>
    </w:p>
    <w:p w14:paraId="39B535EB"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Reviewing policies and procedures</w:t>
      </w:r>
    </w:p>
    <w:p w14:paraId="77E2408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discriminate against trans workers, whether or not this is stated in an employer’s policies.  However, unless it’s spelt out, the rights of transgender people remain invisible, trans applicants or workers remain unsure about how they will be received and other staff and service users may not understand their responsibility to treat trans people with respect.  Branches should make sure that policies refer specifically to discrimination on grounds of gender identity, gender expression and transitioning, are inclusive of non-binary people and that unnecessary references to gender are removed. </w:t>
      </w:r>
    </w:p>
    <w:p w14:paraId="3DD251C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Recruitment and interviews</w:t>
      </w:r>
    </w:p>
    <w:p w14:paraId="4899593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negotiate recruitment policies and procedures that give transgender workers a fair deal and make it clear to candidates that discrimination is not tolerated. Job adverts should welcome applications from transgender people and be placed in LGBT+ media.</w:t>
      </w:r>
    </w:p>
    <w:p w14:paraId="3E00D68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absolutely no obligation for a transgender person to disclose their gender history as a condition of employment.  For most people, this is a very private matter. Many transgender people have experienced prejudice and harassment as a result of disclosure. However, if they do choose to talk about it, it would be unlawful to use this as a reason for not offering them the job.  Similarly, it is unlawful to dismiss someone for not for disclosing this a later date.</w:t>
      </w:r>
    </w:p>
    <w:p w14:paraId="41336F7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Records and confidentiality</w:t>
      </w:r>
    </w:p>
    <w:p w14:paraId="6D48AB7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Confidentiality is crucial. Some transgender members may be out at work about their gender history. This is their decision. Being out to a small group of people does not necessarily mean a person wants to be out to everybody. Branches should insist that personnel records do not refer to any previous name and records made before a change of name are updated.</w:t>
      </w:r>
    </w:p>
    <w:p w14:paraId="17E779C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There may still be some records which identify a person’s gender history, such as records of absence for medical treatment. For people without a Gender Recognition Certificate, some records, for example pensions and insurance, may show their legal sex.  Access to any such records should be restricted to staff who ‘need to know’. ‘Need to know’ applies to those directly involved in administering personnel records or authorising</w:t>
      </w:r>
      <w:r w:rsidRPr="000B548A">
        <w:rPr>
          <w:rFonts w:ascii="Arial" w:eastAsia="Times New Roman" w:hAnsi="Arial" w:cs="Arial"/>
          <w:color w:val="000000"/>
          <w:sz w:val="22"/>
          <w:szCs w:val="22"/>
          <w:lang w:eastAsia="en-GB"/>
        </w:rPr>
        <w:t xml:space="preserve"> </w:t>
      </w:r>
      <w:r w:rsidRPr="000B548A">
        <w:rPr>
          <w:rFonts w:ascii="Arial" w:eastAsia="Times New Roman" w:hAnsi="Arial" w:cs="Arial"/>
          <w:color w:val="000000"/>
          <w:lang w:eastAsia="en-GB"/>
        </w:rPr>
        <w:t>payments into a pension scheme, for example. Breaches of confidentiality should be treated in a serious manner and can be unlawful harassment.  They may also breach GDPR data protection and privacy provisions.</w:t>
      </w:r>
    </w:p>
    <w:p w14:paraId="2638B1D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Gender Recognition Act gives anyone applying for or holding a Gender Recognition Certificate particular privacy rights.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14:paraId="680C904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UNISON members have to undergo criminal records checks because of the nature of their work.  There are procedures for transgender workers which protect their confidentiality with employers while enabling the necessary checks against previous names.  Details of the confidential procedure are available online from the Disclosure and Barring Services.</w:t>
      </w:r>
    </w:p>
    <w:p w14:paraId="4507CC9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need for scrupulous confidentiality also applies to our union work.  Union records must be kept up to date and records referring to a previous name/gender must be destroyed.  If they cannot be destroyed or updated, their security must be ensured.  There is an agreed process for purging previous name information from the union’s membership database – details from RMS operations at the UNISON Centre.</w:t>
      </w:r>
    </w:p>
    <w:p w14:paraId="57405355"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Monitoring</w:t>
      </w:r>
    </w:p>
    <w:p w14:paraId="59C9D09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UNISON is strongly in favour of policies, practices and staff attitudes being monitored, to measure the implementation of trans equality. However we urge caution in seeking to monitor the number of trans staff. Great care must be taken to protect people’s confidentiality and numbers may be too low to provide useful data. There is separate UNISON guidance </w:t>
      </w:r>
      <w:r w:rsidRPr="000B548A">
        <w:rPr>
          <w:rFonts w:ascii="Arial" w:eastAsia="Times New Roman" w:hAnsi="Arial" w:cs="Arial"/>
          <w:i/>
          <w:iCs/>
          <w:color w:val="000000"/>
          <w:lang w:eastAsia="en-GB"/>
        </w:rPr>
        <w:t>LGBT+ workforce monitoring</w:t>
      </w:r>
      <w:r w:rsidRPr="000B548A">
        <w:rPr>
          <w:rFonts w:ascii="Arial" w:eastAsia="Times New Roman" w:hAnsi="Arial" w:cs="Arial"/>
          <w:color w:val="000000"/>
          <w:lang w:eastAsia="en-GB"/>
        </w:rPr>
        <w:t xml:space="preserve"> at </w:t>
      </w:r>
      <w:r w:rsidRPr="000B548A">
        <w:rPr>
          <w:rFonts w:ascii="Arial" w:eastAsia="Times New Roman" w:hAnsi="Arial" w:cs="Arial"/>
          <w:b/>
          <w:bCs/>
          <w:color w:val="000000"/>
          <w:lang w:eastAsia="en-GB"/>
        </w:rPr>
        <w:t>unison.org.uk/out</w:t>
      </w:r>
      <w:r w:rsidRPr="000B548A">
        <w:rPr>
          <w:rFonts w:ascii="Arial" w:eastAsia="Times New Roman" w:hAnsi="Arial" w:cs="Arial"/>
          <w:color w:val="000000"/>
          <w:lang w:eastAsia="en-GB"/>
        </w:rPr>
        <w:t>.</w:t>
      </w:r>
    </w:p>
    <w:p w14:paraId="66ACA454" w14:textId="77777777" w:rsidR="000B548A" w:rsidRDefault="000B548A" w:rsidP="000B548A">
      <w:pPr>
        <w:spacing w:after="200"/>
        <w:rPr>
          <w:rFonts w:ascii="Arial" w:eastAsia="Times New Roman" w:hAnsi="Arial" w:cs="Arial"/>
          <w:color w:val="000000"/>
          <w:sz w:val="36"/>
          <w:szCs w:val="36"/>
          <w:lang w:eastAsia="en-GB"/>
        </w:rPr>
      </w:pPr>
    </w:p>
    <w:p w14:paraId="2E546CED" w14:textId="1265CE6B"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lastRenderedPageBreak/>
        <w:t>Transitioning at work – agreeing a process</w:t>
      </w:r>
    </w:p>
    <w:p w14:paraId="77E396C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Gender transitioning can be a very stressful time for a person. They will have spent a long time thinking about it and may face rejection from family and friends.  How it is handled at work can make all the difference.  It is very important that the employer agrees how the process will work with the person concerned, right from the start. Issues to consider include:</w:t>
      </w:r>
    </w:p>
    <w:p w14:paraId="711CA34A"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 expected point or phase of change of name, personal details and gender</w:t>
      </w:r>
    </w:p>
    <w:p w14:paraId="72B13AE7"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the member wishes to inform line managers, co-workers and service users themselves, or would prefer this to be done for them</w:t>
      </w:r>
    </w:p>
    <w:p w14:paraId="142D94D9"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amendments are required to records and systems, including whether systems allow for non-binary gender identities</w:t>
      </w:r>
    </w:p>
    <w:p w14:paraId="33B41616"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practical arrangements need to be in place, such as security passes, email addresses, any gendered uniform</w:t>
      </w:r>
    </w:p>
    <w:p w14:paraId="1EC007E3"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existing policy on issues such as confidentiality and harassment address transgender equality and if not, how these will be amended</w:t>
      </w:r>
    </w:p>
    <w:p w14:paraId="47FB444A"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training managers and co-workers need; when will it happen and who will carry it out</w:t>
      </w:r>
    </w:p>
    <w:p w14:paraId="0D77A6E6"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 expected time scale of any medical and surgical procedures</w:t>
      </w:r>
    </w:p>
    <w:p w14:paraId="424A7B21"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time off will be required for treatment and/or possible side effects</w:t>
      </w:r>
    </w:p>
    <w:p w14:paraId="3E6275F5"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the member wants to stay in their current post or be redeployed.</w:t>
      </w:r>
    </w:p>
    <w:p w14:paraId="62541118" w14:textId="77777777" w:rsidR="000B548A" w:rsidRPr="000B548A" w:rsidRDefault="000B548A" w:rsidP="000B548A">
      <w:pPr>
        <w:rPr>
          <w:rFonts w:ascii="Arial" w:eastAsia="Times New Roman" w:hAnsi="Arial" w:cs="Arial"/>
          <w:lang w:eastAsia="en-GB"/>
        </w:rPr>
      </w:pPr>
    </w:p>
    <w:p w14:paraId="4E209E6F"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Communicating with other workers or service users</w:t>
      </w:r>
    </w:p>
    <w:p w14:paraId="546AE48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no general need to inform co-workers or service users. It is necessary where the working relationship continues through transition. It is usually good practice for employers to take responsibility for informing those who need to know, but the individual’s wishes should be given priority.</w:t>
      </w:r>
    </w:p>
    <w:p w14:paraId="23CF32C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should be general information about transgender people and relevant information about the particular person.  Their right to work in dignity and free from discrimination and the unacceptability of harassment must be made clear.</w:t>
      </w:r>
    </w:p>
    <w:p w14:paraId="5EDC5E5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work with management on this.  It is important to:</w:t>
      </w:r>
    </w:p>
    <w:p w14:paraId="471C7CE9"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lastRenderedPageBreak/>
        <w:t>Give the name or names the person wishes to be known by and emphasise the importance of using the correct name and gender pronoun (he, she or they)</w:t>
      </w:r>
    </w:p>
    <w:p w14:paraId="2AF0C4CC"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Include sufficient information to convey the facts</w:t>
      </w:r>
    </w:p>
    <w:p w14:paraId="71BA8AE4"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Not go into too much detail </w:t>
      </w:r>
    </w:p>
    <w:p w14:paraId="1C6F434B"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Respect the wishes of the transgender person and their right to confidentiality when discussing personal aspects</w:t>
      </w:r>
    </w:p>
    <w:p w14:paraId="73754E76"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Pitch the information at a level and style appropriate to the audience</w:t>
      </w:r>
    </w:p>
    <w:p w14:paraId="76500A3D" w14:textId="77777777" w:rsidR="000B548A" w:rsidRPr="000B548A" w:rsidRDefault="000B548A" w:rsidP="000B548A">
      <w:pPr>
        <w:numPr>
          <w:ilvl w:val="0"/>
          <w:numId w:val="2"/>
        </w:numPr>
        <w:spacing w:after="240"/>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Include details of how to get further information.</w:t>
      </w:r>
    </w:p>
    <w:p w14:paraId="77A5AC49" w14:textId="77777777" w:rsidR="000B548A" w:rsidRPr="000B548A" w:rsidRDefault="000B548A" w:rsidP="000B548A">
      <w:pPr>
        <w:spacing w:after="240"/>
        <w:ind w:right="-227"/>
        <w:rPr>
          <w:rFonts w:ascii="Arial" w:eastAsia="Times New Roman" w:hAnsi="Arial" w:cs="Arial"/>
          <w:lang w:eastAsia="en-GB"/>
        </w:rPr>
      </w:pPr>
      <w:r w:rsidRPr="000B548A">
        <w:rPr>
          <w:rFonts w:ascii="Arial" w:eastAsia="Times New Roman" w:hAnsi="Arial" w:cs="Arial"/>
          <w:b/>
          <w:bCs/>
          <w:color w:val="000000"/>
          <w:lang w:eastAsia="en-GB"/>
        </w:rPr>
        <w:t>Gender reassignment under medical supervision</w:t>
      </w:r>
    </w:p>
    <w:p w14:paraId="29CF5C8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 people, including non-binary people, may take hormones and/or have surgery.  Trans people are a diverse group and there is no one ‘correct’ way to transition.  Accessing NHS gender identity services requires diagnosis by a specialist and may take months or years.  Waiting lists vary around the UK but can be substantial. Appointments may involve travelling long distances, so are likely to take a whole day.  This can be an extremely stressful time for people.</w:t>
      </w:r>
    </w:p>
    <w:p w14:paraId="131DE2E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no need for managers to have details about a person’s medical treatment except in relation to expected time off or necessary adjustments at work during or following treatment. </w:t>
      </w:r>
    </w:p>
    <w:p w14:paraId="7C96069D"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Negotiating paid time off for treatment </w:t>
      </w:r>
    </w:p>
    <w:p w14:paraId="2288A14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treat trans people less favourably for being absent from work for gender reassignment than they would be treated if they were ill or injured.</w:t>
      </w:r>
    </w:p>
    <w:p w14:paraId="6EA1194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Best practice is for branches to negotiate adequate paid time off, distinct from other sick leave. Gender reassignment treatment should </w:t>
      </w:r>
      <w:r w:rsidRPr="000B548A">
        <w:rPr>
          <w:rFonts w:ascii="Arial" w:eastAsia="Times New Roman" w:hAnsi="Arial" w:cs="Arial"/>
          <w:b/>
          <w:bCs/>
          <w:i/>
          <w:iCs/>
          <w:color w:val="000000"/>
          <w:lang w:eastAsia="en-GB"/>
        </w:rPr>
        <w:t>not</w:t>
      </w:r>
      <w:r w:rsidRPr="000B548A">
        <w:rPr>
          <w:rFonts w:ascii="Arial" w:eastAsia="Times New Roman" w:hAnsi="Arial" w:cs="Arial"/>
          <w:color w:val="000000"/>
          <w:lang w:eastAsia="en-GB"/>
        </w:rPr>
        <w:t xml:space="preserve"> be regarded as elective or cosmetic. Time off should ideally be recorded separately from sickness absence and not used for absence management or monitoring purposes by the employer.</w:t>
      </w:r>
    </w:p>
    <w:p w14:paraId="3554BBB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Capability procedures</w:t>
      </w:r>
    </w:p>
    <w:p w14:paraId="0EB281C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Employers should be made aware of possible side effects of medication and stress of transitioning, which can affect work performance.  People sometimes need reduced hours or duties for a temporary period following surgery. Together with the member, branches should discuss options with the employer. Some employers may try to dismiss workers for </w:t>
      </w:r>
      <w:r w:rsidRPr="000B548A">
        <w:rPr>
          <w:rFonts w:ascii="Arial" w:eastAsia="Times New Roman" w:hAnsi="Arial" w:cs="Arial"/>
          <w:color w:val="000000"/>
          <w:lang w:eastAsia="en-GB"/>
        </w:rPr>
        <w:lastRenderedPageBreak/>
        <w:t>lack of capability.  Branches must make it clear to the employer that this is unacceptable and may well be unlawful discrimination.</w:t>
      </w:r>
    </w:p>
    <w:p w14:paraId="7128588C"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Redeployment and retirement</w:t>
      </w:r>
    </w:p>
    <w:p w14:paraId="33D9DCB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Most people want to stay in the same job through transition.  Occasionally, a worker may want to be redeployed or retired.  The earlier this is raised, the better the chance of a good outcome. If redeployment does take place, it will usually coincide with the change of gender.  </w:t>
      </w:r>
    </w:p>
    <w:p w14:paraId="47F5E51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make sure that difficulties meeting the member’s preferences on redeployment are not turned into grounds for dismissal or retirement.  Active steps should be taken to prevent harassment and ensure support from colleagues and managers.</w:t>
      </w:r>
    </w:p>
    <w:p w14:paraId="3F62D0E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Non-binary members</w:t>
      </w:r>
    </w:p>
    <w:p w14:paraId="4CF4886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people don’t think of themselves as simply male or female.  Their gender identity is more complicated. Some may identify as right in the middle between male and female. Others may feel mainly male, but not 100% male (or vice versa, not 100% female).  </w:t>
      </w:r>
    </w:p>
    <w:p w14:paraId="5C20CB0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Due to society’s expectation that all people, including transgender people, will identify as simply male or female, it can be difficult to work out how to express a gender identity which does not fit neatly into the gender binary. Some people experience a long period of uncertainty about how they relate to the highly gender-stereotyped world around them. However, a growing number of people are identifying as non-binary. UNISON supports the call for their recognition under the law, at work and in service provision.</w:t>
      </w:r>
    </w:p>
    <w:p w14:paraId="7118B01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Workplace and union records should provide for non-binary gender identities. UNISON membership records do not require members to register a binary (female or male) gender. Title options include the non-gendered Mx.</w:t>
      </w:r>
    </w:p>
    <w:p w14:paraId="5B2759AF"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Gendered facilities</w:t>
      </w:r>
    </w:p>
    <w:p w14:paraId="0FA882C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increasingly common – and increasingly welcome - for at least some changing and toilet facilities to be available to all, irrespective of gender.  Where facilities are gendered, all workers should be able to use them according to the gender in which they attend work.  </w:t>
      </w:r>
    </w:p>
    <w:p w14:paraId="4EAE4EA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It is not acceptable to insist on transgender workers using specific facilities, for example a non-gendered wheelchair accessible toilet, just because they are trans.  </w:t>
      </w:r>
    </w:p>
    <w:p w14:paraId="100C639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are entitled to support from their employer, including appropriate discussions with co-workers and service users. It is the employer’s responsibility to manage attitudes. If these are mismanaged, it can cause bad feelings and hostility between co-workers.</w:t>
      </w:r>
    </w:p>
    <w:p w14:paraId="46565D0B"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Dress codes</w:t>
      </w:r>
    </w:p>
    <w:p w14:paraId="7A3C551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Many workers appreciate dress codes which do not differentiate according to gender. Where dress codes are different for men and women, branches should negotiate flexibility for members in the process of transition and for others who require it, such as non-binary members.</w:t>
      </w:r>
    </w:p>
    <w:p w14:paraId="779A763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Checklist of negotiating points</w:t>
      </w:r>
    </w:p>
    <w:p w14:paraId="7BB5911D"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color w:val="000000"/>
          <w:lang w:eastAsia="en-GB"/>
        </w:rPr>
        <w:t>Branches should negotiate with employers so that:</w:t>
      </w:r>
    </w:p>
    <w:p w14:paraId="7F8CF8D9"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gender identity and gender reassignment are included in equality policy and practice and there is well publicised compliance with the law</w:t>
      </w:r>
    </w:p>
    <w:p w14:paraId="5E338BA6"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transgender equality is clearly included in any equality objectives and equality scheme, including specific actions in equality plans and checks in equality impact assessments</w:t>
      </w:r>
    </w:p>
    <w:p w14:paraId="7A815204"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policies and procedures are checked for unnecessary or non-inclusive references to gender and acknowledge and accommodate non-binary identities</w:t>
      </w:r>
    </w:p>
    <w:p w14:paraId="4E34672D"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workers are trained and informed about transgender people’s rights - that harassment and discriminatory behaviour will not be tolerated</w:t>
      </w:r>
    </w:p>
    <w:p w14:paraId="4B670FC6"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workers are treated as the gender or genders in which they live and work, irrespective of their legal sex</w:t>
      </w:r>
    </w:p>
    <w:p w14:paraId="4BD50462"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there are clear procedures for members who are transitioning at work</w:t>
      </w:r>
    </w:p>
    <w:p w14:paraId="4615FB31"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workers undergoing medical gender reassignment have paid leave from work for specialist appointments and treatment, recorded separately from sickness absence and not used for absence management purposes</w:t>
      </w:r>
    </w:p>
    <w:p w14:paraId="54526D9A"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records are kept up to date, old records destroyed and confidentiality is practised scrupulously</w:t>
      </w:r>
    </w:p>
    <w:p w14:paraId="79438EE0"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consideration is given to any gendered facilities and gender-specific dress codes</w:t>
      </w:r>
    </w:p>
    <w:p w14:paraId="2FCD10BA" w14:textId="77777777" w:rsidR="000B548A" w:rsidRPr="000B548A" w:rsidRDefault="000B548A" w:rsidP="000B548A">
      <w:pPr>
        <w:numPr>
          <w:ilvl w:val="0"/>
          <w:numId w:val="3"/>
        </w:numPr>
        <w:spacing w:after="240"/>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lastRenderedPageBreak/>
        <w:t>transgender people who have not acquired Gender Recognition Certificates are advised of any legal implications of their status for pensions and other gender-related benefits.</w:t>
      </w:r>
    </w:p>
    <w:p w14:paraId="6907720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We urge all employers to adopt positive equality policies, not simply ban discrimination. For more information, UNISON has a </w:t>
      </w:r>
      <w:r w:rsidRPr="000B548A">
        <w:rPr>
          <w:rFonts w:ascii="Arial" w:eastAsia="Times New Roman" w:hAnsi="Arial" w:cs="Arial"/>
          <w:i/>
          <w:iCs/>
          <w:color w:val="000000"/>
          <w:lang w:eastAsia="en-GB"/>
        </w:rPr>
        <w:t xml:space="preserve">model policy for trans equality </w:t>
      </w:r>
      <w:r w:rsidRPr="000B548A">
        <w:rPr>
          <w:rFonts w:ascii="Arial" w:eastAsia="Times New Roman" w:hAnsi="Arial" w:cs="Arial"/>
          <w:color w:val="000000"/>
          <w:lang w:eastAsia="en-GB"/>
        </w:rPr>
        <w:t xml:space="preserve">that can be negotiated with employers. You can find it via </w:t>
      </w:r>
      <w:hyperlink r:id="rId11" w:history="1">
        <w:r w:rsidRPr="000B548A">
          <w:rPr>
            <w:rFonts w:ascii="Arial" w:eastAsia="Times New Roman" w:hAnsi="Arial" w:cs="Arial"/>
            <w:color w:val="1155CC"/>
            <w:u w:val="single"/>
            <w:lang w:eastAsia="en-GB"/>
          </w:rPr>
          <w:t>www.unison.co.uk/out</w:t>
        </w:r>
      </w:hyperlink>
      <w:r w:rsidRPr="000B548A">
        <w:rPr>
          <w:rFonts w:ascii="Arial" w:eastAsia="Times New Roman" w:hAnsi="Arial" w:cs="Arial"/>
          <w:color w:val="000000"/>
          <w:lang w:eastAsia="en-GB"/>
        </w:rPr>
        <w:t xml:space="preserve"> . </w:t>
      </w:r>
    </w:p>
    <w:p w14:paraId="5DAE7B2A"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Branch organisation</w:t>
      </w:r>
    </w:p>
    <w:p w14:paraId="09B7E76F"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color w:val="000000"/>
          <w:lang w:eastAsia="en-GB"/>
        </w:rPr>
        <w:t>Branches should make sure:</w:t>
      </w:r>
    </w:p>
    <w:p w14:paraId="6F363363"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members are clearly informed that discrimination on grounds of gender identity and gender reassignment will not be tolerated by the union at any level</w:t>
      </w:r>
    </w:p>
    <w:p w14:paraId="0D5E414C"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Encourage members to undertake the trans ally training course through the learning and organising services team in the region</w:t>
      </w:r>
    </w:p>
    <w:p w14:paraId="73FBBC79"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training and information is provided to those who have a role in advising and representing members</w:t>
      </w:r>
    </w:p>
    <w:p w14:paraId="1B7A732F"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union records are kept up to date, old records destroyed and the highest levels of confidentiality ensured</w:t>
      </w:r>
    </w:p>
    <w:p w14:paraId="43A1840D"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transgender members are encouraged to get involved and active in all aspects of our union’s work</w:t>
      </w:r>
    </w:p>
    <w:p w14:paraId="2653C67C" w14:textId="77777777" w:rsidR="000B548A" w:rsidRPr="000B548A" w:rsidRDefault="000B548A" w:rsidP="000B548A">
      <w:pPr>
        <w:numPr>
          <w:ilvl w:val="0"/>
          <w:numId w:val="4"/>
        </w:numPr>
        <w:spacing w:after="240"/>
        <w:ind w:left="360"/>
        <w:textAlignment w:val="baseline"/>
        <w:rPr>
          <w:rFonts w:ascii="Arial" w:eastAsia="Times New Roman" w:hAnsi="Arial" w:cs="Arial"/>
          <w:color w:val="000000"/>
          <w:sz w:val="22"/>
          <w:szCs w:val="22"/>
          <w:lang w:eastAsia="en-GB"/>
        </w:rPr>
      </w:pPr>
      <w:r w:rsidRPr="000B548A">
        <w:rPr>
          <w:rFonts w:ascii="Arial" w:eastAsia="Times New Roman" w:hAnsi="Arial" w:cs="Arial"/>
          <w:color w:val="000000"/>
          <w:lang w:eastAsia="en-GB"/>
        </w:rPr>
        <w:t>transgender members are given information about specialist support groups, if needed.</w:t>
      </w:r>
    </w:p>
    <w:p w14:paraId="76F23BC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In UNISON, transgender members and lesbian, gay and bisexual members work together in coalition.  Branches should encourage transgender members to participate in UNISON’s lesbian, gay, bisexual and transgender members plus self-organised group and should support local LGBT+ organisation.  </w:t>
      </w:r>
    </w:p>
    <w:p w14:paraId="45EBBB4C"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Further information </w:t>
      </w:r>
    </w:p>
    <w:p w14:paraId="7F7D3E6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UNISON stock items can also be downloaded or ordered from </w:t>
      </w:r>
      <w:r w:rsidRPr="000B548A">
        <w:rPr>
          <w:rFonts w:ascii="Arial" w:eastAsia="Times New Roman" w:hAnsi="Arial" w:cs="Arial"/>
          <w:b/>
          <w:bCs/>
          <w:color w:val="0000FF"/>
          <w:lang w:eastAsia="en-GB"/>
        </w:rPr>
        <w:t>unison.org.uk/onlinecatalogue</w:t>
      </w:r>
      <w:r w:rsidRPr="000B548A">
        <w:rPr>
          <w:rFonts w:ascii="Arial" w:eastAsia="Times New Roman" w:hAnsi="Arial" w:cs="Arial"/>
          <w:color w:val="000000"/>
          <w:lang w:eastAsia="en-GB"/>
        </w:rPr>
        <w:t>.</w:t>
      </w:r>
    </w:p>
    <w:p w14:paraId="02D0EA6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For help when you need it, call UNISON</w:t>
      </w:r>
      <w:r w:rsidRPr="000B548A">
        <w:rPr>
          <w:rFonts w:ascii="Arial" w:eastAsia="Times New Roman" w:hAnsi="Arial" w:cs="Arial"/>
          <w:i/>
          <w:iCs/>
          <w:color w:val="000000"/>
          <w:lang w:eastAsia="en-GB"/>
        </w:rPr>
        <w:t>direct</w:t>
      </w:r>
      <w:r w:rsidRPr="000B548A">
        <w:rPr>
          <w:rFonts w:ascii="Arial" w:eastAsia="Times New Roman" w:hAnsi="Arial" w:cs="Arial"/>
          <w:color w:val="000000"/>
          <w:lang w:eastAsia="en-GB"/>
        </w:rPr>
        <w:t xml:space="preserve"> on 0800 0857 857 (voice) or 0800 0 967 968 (minicom) between 6 am and midnight, Monday to Friday and 9 am to 4 pm on Saturday.</w:t>
      </w:r>
    </w:p>
    <w:p w14:paraId="23BDA01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 xml:space="preserve">Visit </w:t>
      </w:r>
      <w:r w:rsidRPr="000B548A">
        <w:rPr>
          <w:rFonts w:ascii="Arial" w:eastAsia="Times New Roman" w:hAnsi="Arial" w:cs="Arial"/>
          <w:b/>
          <w:bCs/>
          <w:color w:val="0000FF"/>
          <w:lang w:eastAsia="en-GB"/>
        </w:rPr>
        <w:t>unison.org.uk/out</w:t>
      </w:r>
      <w:r w:rsidRPr="000B548A">
        <w:rPr>
          <w:rFonts w:ascii="Arial" w:eastAsia="Times New Roman" w:hAnsi="Arial" w:cs="Arial"/>
          <w:color w:val="000000"/>
          <w:lang w:eastAsia="en-GB"/>
        </w:rPr>
        <w:t xml:space="preserve"> for advice, information and events.  Sign up for the monthly LGBT+ e-bulletin.  Find your regional LGBT+ group, who can put you in touch with your branch LGBT+ group or advise you on setting one up.</w:t>
      </w:r>
    </w:p>
    <w:p w14:paraId="3CB2E241" w14:textId="77777777" w:rsidR="000B548A" w:rsidRPr="000B548A" w:rsidRDefault="000B548A" w:rsidP="000B548A">
      <w:pPr>
        <w:jc w:val="center"/>
        <w:rPr>
          <w:rFonts w:ascii="Arial" w:eastAsia="Times New Roman" w:hAnsi="Arial" w:cs="Arial"/>
          <w:lang w:eastAsia="en-GB"/>
        </w:rPr>
      </w:pPr>
      <w:r w:rsidRPr="000B548A">
        <w:rPr>
          <w:rFonts w:ascii="Arial" w:eastAsia="Times New Roman" w:hAnsi="Arial" w:cs="Arial"/>
          <w:color w:val="000000"/>
          <w:lang w:eastAsia="en-GB"/>
        </w:rPr>
        <w:t xml:space="preserve">For more on LGBT+ equality:  </w:t>
      </w:r>
      <w:r w:rsidRPr="000B548A">
        <w:rPr>
          <w:rFonts w:ascii="Arial" w:eastAsia="Times New Roman" w:hAnsi="Arial" w:cs="Arial"/>
          <w:b/>
          <w:bCs/>
          <w:color w:val="000000"/>
          <w:lang w:eastAsia="en-GB"/>
        </w:rPr>
        <w:t>Mitchell Coe, national officer, LGBT+ equality</w:t>
      </w:r>
    </w:p>
    <w:p w14:paraId="359EB0EE" w14:textId="77777777" w:rsidR="000B548A" w:rsidRPr="000B548A" w:rsidRDefault="000B548A" w:rsidP="000B548A">
      <w:pPr>
        <w:jc w:val="center"/>
        <w:rPr>
          <w:rFonts w:ascii="Arial" w:eastAsia="Times New Roman" w:hAnsi="Arial" w:cs="Arial"/>
          <w:lang w:eastAsia="en-GB"/>
        </w:rPr>
      </w:pPr>
      <w:r w:rsidRPr="000B548A">
        <w:rPr>
          <w:rFonts w:ascii="Arial" w:eastAsia="Times New Roman" w:hAnsi="Arial" w:cs="Arial"/>
          <w:color w:val="000000"/>
          <w:lang w:eastAsia="en-GB"/>
        </w:rPr>
        <w:t>UNISON 130 Euston Road London NW1 2AY</w:t>
      </w:r>
    </w:p>
    <w:p w14:paraId="23F661B8" w14:textId="77777777" w:rsidR="000B548A" w:rsidRPr="000B548A" w:rsidRDefault="00DB05A7" w:rsidP="000B548A">
      <w:pPr>
        <w:spacing w:after="200"/>
        <w:jc w:val="center"/>
        <w:rPr>
          <w:rFonts w:ascii="Arial" w:eastAsia="Times New Roman" w:hAnsi="Arial" w:cs="Arial"/>
          <w:lang w:eastAsia="en-GB"/>
        </w:rPr>
      </w:pPr>
      <w:hyperlink r:id="rId12" w:history="1">
        <w:r w:rsidR="000B548A" w:rsidRPr="000B548A">
          <w:rPr>
            <w:rFonts w:ascii="Arial" w:eastAsia="Times New Roman" w:hAnsi="Arial" w:cs="Arial"/>
            <w:color w:val="0000FF"/>
            <w:u w:val="single"/>
            <w:lang w:eastAsia="en-GB"/>
          </w:rPr>
          <w:t>out@unison.co.uk</w:t>
        </w:r>
      </w:hyperlink>
    </w:p>
    <w:p w14:paraId="3E0F9FB8"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Useful organisations</w:t>
      </w:r>
    </w:p>
    <w:p w14:paraId="786F2171" w14:textId="77777777" w:rsidR="000B548A" w:rsidRPr="000B548A" w:rsidRDefault="000B548A" w:rsidP="000B548A">
      <w:pPr>
        <w:spacing w:after="240"/>
        <w:jc w:val="both"/>
        <w:rPr>
          <w:rFonts w:ascii="Arial" w:eastAsia="Times New Roman" w:hAnsi="Arial" w:cs="Arial"/>
          <w:lang w:eastAsia="en-GB"/>
        </w:rPr>
      </w:pPr>
      <w:r w:rsidRPr="000B548A">
        <w:rPr>
          <w:rFonts w:ascii="Arial" w:eastAsia="Times New Roman" w:hAnsi="Arial" w:cs="Arial"/>
          <w:b/>
          <w:bCs/>
          <w:color w:val="000000"/>
          <w:lang w:eastAsia="en-GB"/>
        </w:rPr>
        <w:t>Scottish Trans Alliance</w:t>
      </w:r>
      <w:r w:rsidRPr="000B548A">
        <w:rPr>
          <w:rFonts w:ascii="Arial" w:eastAsia="Times New Roman" w:hAnsi="Arial" w:cs="Arial"/>
          <w:color w:val="000000"/>
          <w:lang w:eastAsia="en-GB"/>
        </w:rPr>
        <w:t xml:space="preserve"> </w:t>
      </w:r>
      <w:hyperlink r:id="rId13" w:history="1">
        <w:r w:rsidRPr="000B548A">
          <w:rPr>
            <w:rFonts w:ascii="Arial" w:eastAsia="Times New Roman" w:hAnsi="Arial" w:cs="Arial"/>
            <w:color w:val="0000FF"/>
            <w:u w:val="single"/>
            <w:lang w:eastAsia="en-GB"/>
          </w:rPr>
          <w:t>scottishtrans.org</w:t>
        </w:r>
      </w:hyperlink>
      <w:r w:rsidRPr="000B548A">
        <w:rPr>
          <w:rFonts w:ascii="Arial" w:eastAsia="Times New Roman" w:hAnsi="Arial" w:cs="Arial"/>
          <w:color w:val="000000"/>
          <w:lang w:eastAsia="en-GB"/>
        </w:rPr>
        <w:t xml:space="preserve"> guidance and support on trans equality </w:t>
      </w:r>
    </w:p>
    <w:p w14:paraId="5A62F6D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Gendered Intelligence </w:t>
      </w:r>
      <w:r w:rsidRPr="000B548A">
        <w:rPr>
          <w:rFonts w:ascii="Arial" w:eastAsia="Times New Roman" w:hAnsi="Arial" w:cs="Arial"/>
          <w:color w:val="0000FF"/>
          <w:u w:val="single"/>
          <w:lang w:eastAsia="en-GB"/>
        </w:rPr>
        <w:t>genderedintelligence.co.uk</w:t>
      </w:r>
      <w:r w:rsidRPr="000B548A">
        <w:rPr>
          <w:rFonts w:ascii="Arial" w:eastAsia="Times New Roman" w:hAnsi="Arial" w:cs="Arial"/>
          <w:color w:val="000000"/>
          <w:lang w:eastAsia="en-GB"/>
        </w:rPr>
        <w:t xml:space="preserve"> guidance and training on gender diversity and workshops to improve the quality of trans peoples’ lives</w:t>
      </w:r>
    </w:p>
    <w:p w14:paraId="21A3990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Identity Research and Education Society</w:t>
      </w:r>
      <w:r w:rsidRPr="000B548A">
        <w:rPr>
          <w:rFonts w:ascii="Arial" w:eastAsia="Times New Roman" w:hAnsi="Arial" w:cs="Arial"/>
          <w:color w:val="000000"/>
          <w:lang w:eastAsia="en-GB"/>
        </w:rPr>
        <w:t xml:space="preserve"> </w:t>
      </w:r>
      <w:r w:rsidRPr="000B548A">
        <w:rPr>
          <w:rFonts w:ascii="Arial" w:eastAsia="Times New Roman" w:hAnsi="Arial" w:cs="Arial"/>
          <w:color w:val="0000FF"/>
          <w:u w:val="single"/>
          <w:lang w:eastAsia="en-GB"/>
        </w:rPr>
        <w:t>gires.org.uk</w:t>
      </w:r>
      <w:r w:rsidRPr="000B548A">
        <w:rPr>
          <w:rFonts w:ascii="Arial" w:eastAsia="Times New Roman" w:hAnsi="Arial" w:cs="Arial"/>
          <w:color w:val="000000"/>
          <w:lang w:eastAsia="en-GB"/>
        </w:rPr>
        <w:t xml:space="preserve"> information for trans people, their families and the professionals who support them </w:t>
      </w:r>
    </w:p>
    <w:p w14:paraId="1C335B7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Mermaids </w:t>
      </w:r>
      <w:hyperlink r:id="rId14" w:history="1">
        <w:r w:rsidRPr="000B548A">
          <w:rPr>
            <w:rFonts w:ascii="Arial" w:eastAsia="Times New Roman" w:hAnsi="Arial" w:cs="Arial"/>
            <w:color w:val="1155CC"/>
            <w:u w:val="single"/>
            <w:lang w:eastAsia="en-GB"/>
          </w:rPr>
          <w:t>https://mermaidsuk.org.uk/</w:t>
        </w:r>
      </w:hyperlink>
      <w:r w:rsidRPr="000B548A">
        <w:rPr>
          <w:rFonts w:ascii="Arial" w:eastAsia="Times New Roman" w:hAnsi="Arial" w:cs="Arial"/>
          <w:color w:val="000000"/>
          <w:lang w:eastAsia="en-GB"/>
        </w:rPr>
        <w:t xml:space="preserve"> supports trans, non-binary and gender diverse children and young people and their families. </w:t>
      </w:r>
    </w:p>
    <w:p w14:paraId="7949CD75" w14:textId="77777777" w:rsidR="000B548A" w:rsidRPr="000B548A" w:rsidRDefault="000B548A" w:rsidP="000B548A">
      <w:pPr>
        <w:spacing w:after="240"/>
        <w:rPr>
          <w:rFonts w:ascii="Arial" w:eastAsia="Times New Roman" w:hAnsi="Arial" w:cs="Arial"/>
          <w:lang w:eastAsia="en-GB"/>
        </w:rPr>
      </w:pPr>
    </w:p>
    <w:p w14:paraId="1F5BF5CC" w14:textId="17F586F3" w:rsidR="000B548A" w:rsidRPr="000B548A" w:rsidRDefault="000B548A" w:rsidP="000B548A">
      <w:pPr>
        <w:spacing w:after="240"/>
        <w:jc w:val="right"/>
        <w:rPr>
          <w:rFonts w:ascii="Arial" w:eastAsia="Times New Roman" w:hAnsi="Arial" w:cs="Arial"/>
          <w:lang w:eastAsia="en-GB"/>
        </w:rPr>
      </w:pPr>
      <w:r>
        <w:rPr>
          <w:rFonts w:ascii="Arial" w:eastAsia="Times New Roman" w:hAnsi="Arial" w:cs="Arial"/>
          <w:b/>
          <w:bCs/>
          <w:color w:val="000000"/>
          <w:lang w:eastAsia="en-GB"/>
        </w:rPr>
        <w:t>June</w:t>
      </w:r>
      <w:r w:rsidRPr="000B548A">
        <w:rPr>
          <w:rFonts w:ascii="Arial" w:eastAsia="Times New Roman" w:hAnsi="Arial" w:cs="Arial"/>
          <w:b/>
          <w:bCs/>
          <w:color w:val="000000"/>
          <w:lang w:eastAsia="en-GB"/>
        </w:rPr>
        <w:t xml:space="preserve"> 2022</w:t>
      </w:r>
    </w:p>
    <w:p w14:paraId="25F142FE" w14:textId="77777777" w:rsidR="000B548A" w:rsidRPr="000B548A" w:rsidRDefault="000B548A" w:rsidP="000B548A">
      <w:pPr>
        <w:rPr>
          <w:rFonts w:ascii="Arial" w:eastAsia="Times New Roman" w:hAnsi="Arial" w:cs="Arial"/>
          <w:lang w:eastAsia="en-GB"/>
        </w:rPr>
      </w:pPr>
    </w:p>
    <w:p w14:paraId="3F6F1D37" w14:textId="77777777" w:rsidR="00B918F4" w:rsidRPr="000B548A" w:rsidRDefault="00B918F4">
      <w:pPr>
        <w:rPr>
          <w:rFonts w:ascii="Arial" w:hAnsi="Arial" w:cs="Arial"/>
        </w:rPr>
      </w:pPr>
    </w:p>
    <w:sectPr w:rsidR="00B918F4" w:rsidRPr="000B548A" w:rsidSect="00B918F4">
      <w:headerReference w:type="default" r:id="rId15"/>
      <w:pgSz w:w="11900" w:h="16840"/>
      <w:pgMar w:top="3402" w:right="1134"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FA20" w14:textId="77777777" w:rsidR="00F76B0D" w:rsidRDefault="00F76B0D" w:rsidP="00B558D5">
      <w:r>
        <w:separator/>
      </w:r>
    </w:p>
  </w:endnote>
  <w:endnote w:type="continuationSeparator" w:id="0">
    <w:p w14:paraId="35268387" w14:textId="77777777" w:rsidR="00F76B0D" w:rsidRDefault="00F76B0D" w:rsidP="00B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5079" w14:textId="77777777" w:rsidR="00F76B0D" w:rsidRDefault="00F76B0D" w:rsidP="00B558D5">
      <w:r>
        <w:separator/>
      </w:r>
    </w:p>
  </w:footnote>
  <w:footnote w:type="continuationSeparator" w:id="0">
    <w:p w14:paraId="0D379DC2" w14:textId="77777777" w:rsidR="00F76B0D" w:rsidRDefault="00F76B0D" w:rsidP="00B5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F9F" w14:textId="25A297D8" w:rsidR="00B558D5" w:rsidRDefault="00B918F4">
    <w:pPr>
      <w:pStyle w:val="Header"/>
    </w:pPr>
    <w:r>
      <w:rPr>
        <w:noProof/>
      </w:rPr>
      <w:drawing>
        <wp:anchor distT="0" distB="0" distL="114300" distR="114300" simplePos="0" relativeHeight="251658240" behindDoc="1" locked="0" layoutInCell="1" allowOverlap="1" wp14:anchorId="69A7F63C" wp14:editId="7DF952F9">
          <wp:simplePos x="0" y="0"/>
          <wp:positionH relativeFrom="page">
            <wp:posOffset>0</wp:posOffset>
          </wp:positionH>
          <wp:positionV relativeFrom="page">
            <wp:posOffset>0</wp:posOffset>
          </wp:positionV>
          <wp:extent cx="7563600" cy="10692000"/>
          <wp:effectExtent l="0" t="0" r="5715"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4E8"/>
    <w:multiLevelType w:val="multilevel"/>
    <w:tmpl w:val="816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05B"/>
    <w:multiLevelType w:val="multilevel"/>
    <w:tmpl w:val="875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12159"/>
    <w:multiLevelType w:val="multilevel"/>
    <w:tmpl w:val="FD6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F7D66"/>
    <w:multiLevelType w:val="multilevel"/>
    <w:tmpl w:val="058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D5"/>
    <w:rsid w:val="000B548A"/>
    <w:rsid w:val="002759C7"/>
    <w:rsid w:val="00597F46"/>
    <w:rsid w:val="00A76146"/>
    <w:rsid w:val="00B50A1F"/>
    <w:rsid w:val="00B558D5"/>
    <w:rsid w:val="00B918F4"/>
    <w:rsid w:val="00D81ED9"/>
    <w:rsid w:val="00DB05A7"/>
    <w:rsid w:val="00DB63D2"/>
    <w:rsid w:val="00EE5723"/>
    <w:rsid w:val="00F07ED2"/>
    <w:rsid w:val="00F7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D6F6"/>
  <w15:chartTrackingRefBased/>
  <w15:docId w15:val="{91B66699-27C0-9F4F-B344-18D73D8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54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5"/>
    <w:pPr>
      <w:tabs>
        <w:tab w:val="center" w:pos="4680"/>
        <w:tab w:val="right" w:pos="9360"/>
      </w:tabs>
    </w:pPr>
  </w:style>
  <w:style w:type="character" w:customStyle="1" w:styleId="HeaderChar">
    <w:name w:val="Header Char"/>
    <w:basedOn w:val="DefaultParagraphFont"/>
    <w:link w:val="Header"/>
    <w:uiPriority w:val="99"/>
    <w:rsid w:val="00B558D5"/>
  </w:style>
  <w:style w:type="paragraph" w:styleId="Footer">
    <w:name w:val="footer"/>
    <w:basedOn w:val="Normal"/>
    <w:link w:val="FooterChar"/>
    <w:uiPriority w:val="99"/>
    <w:unhideWhenUsed/>
    <w:rsid w:val="00B558D5"/>
    <w:pPr>
      <w:tabs>
        <w:tab w:val="center" w:pos="4680"/>
        <w:tab w:val="right" w:pos="9360"/>
      </w:tabs>
    </w:pPr>
  </w:style>
  <w:style w:type="character" w:customStyle="1" w:styleId="FooterChar">
    <w:name w:val="Footer Char"/>
    <w:basedOn w:val="DefaultParagraphFont"/>
    <w:link w:val="Footer"/>
    <w:uiPriority w:val="99"/>
    <w:rsid w:val="00B558D5"/>
  </w:style>
  <w:style w:type="character" w:customStyle="1" w:styleId="Heading3Char">
    <w:name w:val="Heading 3 Char"/>
    <w:basedOn w:val="DefaultParagraphFont"/>
    <w:link w:val="Heading3"/>
    <w:uiPriority w:val="9"/>
    <w:rsid w:val="000B54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54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B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tra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on.co.uk/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rmaidsu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2" ma:contentTypeDescription="Create a new Word Document" ma:contentTypeScope="" ma:versionID="4db111223a8bf2784670814b6cf34b65">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6cb5fb111ce9385bcb101cdb6115a2a7"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Version xmlns="089b9343-ef78-4151-93e6-e519f223cf94" xsi:nil="true"/>
    <UNISON_x0020_Source_x0020_URL xmlns="089b9343-ef78-4151-93e6-e519f223cf94">
      <Url xsi:nil="true"/>
      <Description xsi:nil="true"/>
    </UNISON_x0020_Source_x0020_URL>
    <Date_x0020_Submitted xmlns="089b9343-ef78-4151-93e6-e519f223cf94" xsi:nil="true"/>
    <UNISON_x0020_Target_x0020_URL xmlns="089b9343-ef78-4151-93e6-e519f223cf94">
      <Url xsi:nil="true"/>
      <Description xsi:nil="true"/>
    </UNISON_x0020_Target_x0020_URL>
    <Submitter xmlns="235f222e-c610-49ad-bb20-02efe7429387" xsi:nil="true"/>
    <Date_x0020_Approved xmlns="089b9343-ef78-4151-93e6-e519f223cf94" xsi:nil="true"/>
    <SOG_x0020_Communications_x0020_Document_x0020_Type xmlns="235f222e-c610-49ad-bb20-02efe7429387" xsi:nil="true"/>
    <Approver xmlns="235f222e-c610-49ad-bb20-02efe7429387"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17E207F-FF65-4F0D-96B0-08ED904F37C3}">
  <ds:schemaRefs>
    <ds:schemaRef ds:uri="http://schemas.microsoft.com/sharepoint/v3/contenttype/forms"/>
  </ds:schemaRefs>
</ds:datastoreItem>
</file>

<file path=customXml/itemProps2.xml><?xml version="1.0" encoding="utf-8"?>
<ds:datastoreItem xmlns:ds="http://schemas.openxmlformats.org/officeDocument/2006/customXml" ds:itemID="{D0927F22-1CA9-4F3E-BA23-9A1E58E0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8A563-C34F-48D8-8A74-FE882EF734CB}">
  <ds:schemaRefs>
    <ds:schemaRef ds:uri="http://schemas.microsoft.com/office/2006/metadata/properties"/>
    <ds:schemaRef ds:uri="http://schemas.microsoft.com/office/infopath/2007/PartnerControls"/>
    <ds:schemaRef ds:uri="089b9343-ef78-4151-93e6-e519f223cf94"/>
    <ds:schemaRef ds:uri="235f222e-c610-49ad-bb20-02efe7429387"/>
  </ds:schemaRefs>
</ds:datastoreItem>
</file>

<file path=customXml/itemProps4.xml><?xml version="1.0" encoding="utf-8"?>
<ds:datastoreItem xmlns:ds="http://schemas.openxmlformats.org/officeDocument/2006/customXml" ds:itemID="{191EE80E-B05B-4EC0-90D5-9492EF4C48D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3743</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Mawhood, Susan</cp:lastModifiedBy>
  <cp:revision>2</cp:revision>
  <dcterms:created xsi:type="dcterms:W3CDTF">2022-07-14T10:42:00Z</dcterms:created>
  <dcterms:modified xsi:type="dcterms:W3CDTF">2022-07-14T10:42:00Z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ies>
</file>