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FC" w:rsidRPr="00E41A27" w:rsidRDefault="009B6FFC" w:rsidP="007356AD">
      <w:pPr>
        <w:spacing w:after="200"/>
        <w:rPr>
          <w:b/>
          <w:sz w:val="24"/>
          <w:szCs w:val="24"/>
        </w:rPr>
      </w:pPr>
      <w:r w:rsidRPr="00E41A27">
        <w:rPr>
          <w:rFonts w:ascii="Open Sans" w:hAnsi="Open Sans" w:cs="Open Sans"/>
          <w:b/>
          <w:sz w:val="24"/>
          <w:szCs w:val="24"/>
        </w:rPr>
        <w:t>Claim Elements</w:t>
      </w:r>
    </w:p>
    <w:p w:rsidR="009B6FFC" w:rsidRPr="00176113" w:rsidRDefault="009B6FFC" w:rsidP="007356AD">
      <w:pPr>
        <w:spacing w:after="200"/>
        <w:contextualSpacing/>
        <w:rPr>
          <w:b/>
          <w:sz w:val="24"/>
          <w:szCs w:val="24"/>
        </w:rPr>
      </w:pPr>
      <w:r w:rsidRPr="00176113">
        <w:rPr>
          <w:rFonts w:ascii="Open Sans" w:hAnsi="Open Sans" w:cs="Open Sans"/>
          <w:b/>
          <w:sz w:val="24"/>
          <w:szCs w:val="24"/>
        </w:rPr>
        <w:t>Hourly paid, temporary, fixed term or casual staff working in a college for more than two years to be offered a permanent post on a pro-rata basis that is commensurate with the hours they actually work</w:t>
      </w:r>
    </w:p>
    <w:p w:rsidR="009B6FFC" w:rsidRPr="00E41A27" w:rsidRDefault="009B6FFC" w:rsidP="007356AD">
      <w:pPr>
        <w:ind w:left="1080"/>
        <w:rPr>
          <w:rFonts w:ascii="Open Sans" w:hAnsi="Open Sans" w:cs="Open Sans"/>
          <w:bCs/>
          <w:sz w:val="24"/>
          <w:szCs w:val="24"/>
        </w:rPr>
      </w:pPr>
    </w:p>
    <w:p w:rsidR="009B6FFC" w:rsidRPr="00E41A27" w:rsidRDefault="009B6FFC" w:rsidP="007356AD">
      <w:pPr>
        <w:rPr>
          <w:sz w:val="24"/>
          <w:szCs w:val="24"/>
        </w:rPr>
      </w:pPr>
      <w:r w:rsidRPr="00E41A27">
        <w:rPr>
          <w:rFonts w:ascii="Open Sans" w:hAnsi="Open Sans" w:cs="Open Sans"/>
          <w:bCs/>
          <w:sz w:val="24"/>
          <w:szCs w:val="24"/>
        </w:rPr>
        <w:t>It is recommended the colleges continue to regularly review their establishment:</w:t>
      </w:r>
      <w:r w:rsidR="00E41A27">
        <w:rPr>
          <w:rFonts w:ascii="Open Sans" w:hAnsi="Open Sans" w:cs="Open Sans"/>
          <w:bCs/>
          <w:sz w:val="24"/>
          <w:szCs w:val="24"/>
        </w:rPr>
        <w:t xml:space="preserve"> </w:t>
      </w:r>
      <w:r w:rsidRPr="00E41A27">
        <w:rPr>
          <w:rFonts w:ascii="Open Sans" w:hAnsi="Open Sans" w:cs="Open Sans"/>
          <w:bCs/>
          <w:sz w:val="24"/>
          <w:szCs w:val="24"/>
        </w:rPr>
        <w:t>flexibility ratios to ensure they continue to reflect and plan for the changing business and operating environment and keeping the requirements of the regulations in mind.</w:t>
      </w:r>
    </w:p>
    <w:p w:rsidR="009B6FFC" w:rsidRPr="00E41A27" w:rsidRDefault="009B6FFC" w:rsidP="007356AD">
      <w:pPr>
        <w:ind w:left="1080"/>
        <w:rPr>
          <w:sz w:val="24"/>
          <w:szCs w:val="24"/>
        </w:rPr>
      </w:pPr>
      <w:r w:rsidRPr="00E41A27">
        <w:rPr>
          <w:rFonts w:ascii="Open Sans" w:hAnsi="Open Sans" w:cs="Open Sans"/>
          <w:bCs/>
          <w:sz w:val="24"/>
          <w:szCs w:val="24"/>
        </w:rPr>
        <w:t> </w:t>
      </w:r>
    </w:p>
    <w:p w:rsidR="009B6FFC" w:rsidRPr="00E41A27" w:rsidRDefault="009B6FFC" w:rsidP="007356AD">
      <w:pPr>
        <w:rPr>
          <w:rFonts w:ascii="Open Sans" w:hAnsi="Open Sans" w:cs="Open Sans"/>
          <w:bCs/>
          <w:sz w:val="24"/>
          <w:szCs w:val="24"/>
        </w:rPr>
      </w:pPr>
      <w:r w:rsidRPr="00E41A27">
        <w:rPr>
          <w:rFonts w:ascii="Open Sans" w:hAnsi="Open Sans" w:cs="Open Sans"/>
          <w:bCs/>
          <w:sz w:val="24"/>
          <w:szCs w:val="24"/>
        </w:rPr>
        <w:t xml:space="preserve">Similarly, in line with the regulations and any existing agreements, colleges should identify any staff </w:t>
      </w:r>
      <w:proofErr w:type="gramStart"/>
      <w:r w:rsidRPr="00E41A27">
        <w:rPr>
          <w:rFonts w:ascii="Open Sans" w:hAnsi="Open Sans" w:cs="Open Sans"/>
          <w:bCs/>
          <w:sz w:val="24"/>
          <w:szCs w:val="24"/>
        </w:rPr>
        <w:t>who</w:t>
      </w:r>
      <w:proofErr w:type="gramEnd"/>
      <w:r w:rsidRPr="00E41A27">
        <w:rPr>
          <w:rFonts w:ascii="Open Sans" w:hAnsi="Open Sans" w:cs="Open Sans"/>
          <w:bCs/>
          <w:sz w:val="24"/>
          <w:szCs w:val="24"/>
        </w:rPr>
        <w:t xml:space="preserve"> have been employed on fixed term contracts of four years or more and take any appropriate action needed.</w:t>
      </w:r>
    </w:p>
    <w:p w:rsidR="008D3E25" w:rsidRPr="00E41A27" w:rsidRDefault="008D3E25" w:rsidP="007356AD">
      <w:pPr>
        <w:ind w:left="1080"/>
        <w:rPr>
          <w:rFonts w:ascii="Open Sans" w:hAnsi="Open Sans" w:cs="Open Sans"/>
          <w:bCs/>
          <w:sz w:val="24"/>
          <w:szCs w:val="24"/>
        </w:rPr>
      </w:pPr>
    </w:p>
    <w:p w:rsidR="008D3E25" w:rsidRPr="00E41A27" w:rsidRDefault="00C963C5" w:rsidP="007356AD">
      <w:pPr>
        <w:rPr>
          <w:sz w:val="24"/>
          <w:szCs w:val="24"/>
        </w:rPr>
      </w:pPr>
      <w:r w:rsidRPr="00E41A27">
        <w:rPr>
          <w:rFonts w:ascii="Open Sans" w:hAnsi="Open Sans" w:cs="Open Sans"/>
          <w:bCs/>
          <w:sz w:val="24"/>
          <w:szCs w:val="24"/>
        </w:rPr>
        <w:t xml:space="preserve">It is suggested that a joint working group </w:t>
      </w:r>
      <w:bookmarkStart w:id="0" w:name="_GoBack"/>
      <w:bookmarkEnd w:id="0"/>
      <w:r w:rsidR="008D3E25" w:rsidRPr="00E41A27">
        <w:rPr>
          <w:rFonts w:ascii="Open Sans" w:hAnsi="Open Sans" w:cs="Open Sans"/>
          <w:bCs/>
          <w:sz w:val="24"/>
          <w:szCs w:val="24"/>
        </w:rPr>
        <w:t>be formed to develop models of good practice</w:t>
      </w:r>
    </w:p>
    <w:p w:rsidR="009B6FFC" w:rsidRPr="00E41A27" w:rsidRDefault="009B6FFC" w:rsidP="007356AD">
      <w:pPr>
        <w:spacing w:after="200"/>
        <w:rPr>
          <w:sz w:val="24"/>
          <w:szCs w:val="24"/>
        </w:rPr>
      </w:pPr>
      <w:r w:rsidRPr="00E41A27">
        <w:rPr>
          <w:rFonts w:ascii="Open Sans" w:hAnsi="Open Sans" w:cs="Open Sans"/>
          <w:sz w:val="24"/>
          <w:szCs w:val="24"/>
        </w:rPr>
        <w:t> </w:t>
      </w:r>
    </w:p>
    <w:p w:rsidR="009B6FFC" w:rsidRPr="00176113" w:rsidRDefault="009B6FFC" w:rsidP="007356AD">
      <w:pPr>
        <w:spacing w:after="200"/>
        <w:rPr>
          <w:b/>
          <w:sz w:val="24"/>
          <w:szCs w:val="24"/>
        </w:rPr>
      </w:pPr>
      <w:r w:rsidRPr="00176113">
        <w:rPr>
          <w:rFonts w:ascii="Open Sans" w:hAnsi="Open Sans" w:cs="Open Sans"/>
          <w:b/>
          <w:sz w:val="24"/>
          <w:szCs w:val="24"/>
        </w:rPr>
        <w:t>All colleges to ensure fair pay for women by conducti</w:t>
      </w:r>
      <w:r w:rsidR="008D3E25" w:rsidRPr="00176113">
        <w:rPr>
          <w:rFonts w:ascii="Open Sans" w:hAnsi="Open Sans" w:cs="Open Sans"/>
          <w:b/>
          <w:sz w:val="24"/>
          <w:szCs w:val="24"/>
        </w:rPr>
        <w:t>ng Equal</w:t>
      </w:r>
      <w:r w:rsidR="007356AD" w:rsidRPr="00176113">
        <w:rPr>
          <w:rFonts w:ascii="Open Sans" w:hAnsi="Open Sans" w:cs="Open Sans"/>
          <w:b/>
          <w:sz w:val="24"/>
          <w:szCs w:val="24"/>
        </w:rPr>
        <w:t xml:space="preserve"> </w:t>
      </w:r>
      <w:r w:rsidRPr="00176113">
        <w:rPr>
          <w:rFonts w:ascii="Open Sans" w:hAnsi="Open Sans" w:cs="Open Sans"/>
          <w:b/>
          <w:sz w:val="24"/>
          <w:szCs w:val="24"/>
        </w:rPr>
        <w:t>Pay</w:t>
      </w:r>
      <w:r w:rsidR="007356AD" w:rsidRPr="00176113">
        <w:rPr>
          <w:rFonts w:ascii="Open Sans" w:hAnsi="Open Sans" w:cs="Open Sans"/>
          <w:b/>
          <w:sz w:val="24"/>
          <w:szCs w:val="24"/>
        </w:rPr>
        <w:t xml:space="preserve"> </w:t>
      </w:r>
      <w:r w:rsidRPr="00176113">
        <w:rPr>
          <w:rFonts w:ascii="Open Sans" w:hAnsi="Open Sans" w:cs="Open Sans"/>
          <w:b/>
          <w:sz w:val="24"/>
          <w:szCs w:val="24"/>
        </w:rPr>
        <w:t>Audits or reviewing any existing audits: identifying any gender pay gap; and constructing an Action Plan with the Trade Unions locally to eliminate any such gaps.</w:t>
      </w:r>
    </w:p>
    <w:p w:rsidR="009B6FFC" w:rsidRPr="00E41A27" w:rsidRDefault="009B6FFC" w:rsidP="007356AD">
      <w:pPr>
        <w:rPr>
          <w:sz w:val="24"/>
          <w:szCs w:val="24"/>
        </w:rPr>
      </w:pPr>
      <w:r w:rsidRPr="00E41A27">
        <w:rPr>
          <w:rFonts w:ascii="Open Sans" w:hAnsi="Open Sans" w:cs="Open Sans"/>
          <w:bCs/>
          <w:sz w:val="24"/>
          <w:szCs w:val="24"/>
        </w:rPr>
        <w:t xml:space="preserve">As responsible employers, it is recommended that colleges review their existing audits or make use of NJF’S agreed toolkit to identify and assure </w:t>
      </w:r>
      <w:proofErr w:type="gramStart"/>
      <w:r w:rsidRPr="00E41A27">
        <w:rPr>
          <w:rFonts w:ascii="Open Sans" w:hAnsi="Open Sans" w:cs="Open Sans"/>
          <w:bCs/>
          <w:sz w:val="24"/>
          <w:szCs w:val="24"/>
        </w:rPr>
        <w:t>themselves</w:t>
      </w:r>
      <w:proofErr w:type="gramEnd"/>
      <w:r w:rsidRPr="00E41A27">
        <w:rPr>
          <w:rFonts w:ascii="Open Sans" w:hAnsi="Open Sans" w:cs="Open Sans"/>
          <w:bCs/>
          <w:sz w:val="24"/>
          <w:szCs w:val="24"/>
        </w:rPr>
        <w:t xml:space="preserve"> that males and females undertaking exactly the same work are paid equally.  Where gaps are identified or there is potential for a pay gap to develop, colleges should seek to identify and address the matter through an action plan and consult with staff and workforce representatives on</w:t>
      </w:r>
      <w:r w:rsidR="008D3E25" w:rsidRPr="00E41A27">
        <w:rPr>
          <w:rFonts w:ascii="Open Sans" w:hAnsi="Open Sans" w:cs="Open Sans"/>
          <w:bCs/>
          <w:sz w:val="24"/>
          <w:szCs w:val="24"/>
        </w:rPr>
        <w:t xml:space="preserve"> the plan and</w:t>
      </w:r>
      <w:r w:rsidRPr="00E41A27">
        <w:rPr>
          <w:rFonts w:ascii="Open Sans" w:hAnsi="Open Sans" w:cs="Open Sans"/>
          <w:bCs/>
          <w:sz w:val="24"/>
          <w:szCs w:val="24"/>
        </w:rPr>
        <w:t xml:space="preserve"> its implementation.</w:t>
      </w:r>
    </w:p>
    <w:p w:rsidR="007356AD" w:rsidRDefault="009B6FFC" w:rsidP="007356AD">
      <w:pPr>
        <w:ind w:left="1080"/>
        <w:rPr>
          <w:sz w:val="24"/>
          <w:szCs w:val="24"/>
        </w:rPr>
      </w:pPr>
      <w:r w:rsidRPr="00E41A27">
        <w:rPr>
          <w:rFonts w:ascii="Open Sans" w:hAnsi="Open Sans" w:cs="Open Sans"/>
          <w:bCs/>
          <w:sz w:val="24"/>
          <w:szCs w:val="24"/>
        </w:rPr>
        <w:t> </w:t>
      </w:r>
    </w:p>
    <w:p w:rsidR="009B6FFC" w:rsidRPr="00E41A27" w:rsidRDefault="009B6FFC" w:rsidP="007356AD">
      <w:pPr>
        <w:rPr>
          <w:sz w:val="24"/>
          <w:szCs w:val="24"/>
        </w:rPr>
      </w:pPr>
      <w:r w:rsidRPr="00E41A27">
        <w:rPr>
          <w:rFonts w:ascii="Open Sans" w:hAnsi="Open Sans" w:cs="Open Sans"/>
          <w:bCs/>
          <w:sz w:val="24"/>
          <w:szCs w:val="24"/>
        </w:rPr>
        <w:t>It should be noted that for the majority of colleges this is a routine action for HR functions who will undertake such activities in the general course of their work.</w:t>
      </w:r>
    </w:p>
    <w:p w:rsidR="009B6FFC" w:rsidRPr="00E41A27" w:rsidRDefault="009B6FFC" w:rsidP="007356AD">
      <w:pPr>
        <w:spacing w:after="200"/>
        <w:rPr>
          <w:sz w:val="24"/>
          <w:szCs w:val="24"/>
        </w:rPr>
      </w:pPr>
      <w:r w:rsidRPr="00E41A27">
        <w:rPr>
          <w:rFonts w:ascii="Open Sans" w:hAnsi="Open Sans" w:cs="Open Sans"/>
          <w:sz w:val="24"/>
          <w:szCs w:val="24"/>
        </w:rPr>
        <w:t> </w:t>
      </w:r>
    </w:p>
    <w:p w:rsidR="009B6FFC" w:rsidRPr="00176113" w:rsidRDefault="009B6FFC" w:rsidP="007356AD">
      <w:pPr>
        <w:spacing w:after="200"/>
        <w:rPr>
          <w:b/>
          <w:sz w:val="24"/>
          <w:szCs w:val="24"/>
        </w:rPr>
      </w:pPr>
      <w:r w:rsidRPr="00176113">
        <w:rPr>
          <w:rFonts w:ascii="Open Sans" w:hAnsi="Open Sans" w:cs="Open Sans"/>
          <w:b/>
          <w:sz w:val="24"/>
          <w:szCs w:val="24"/>
        </w:rPr>
        <w:t>The starting rates to be no lower than the Living</w:t>
      </w:r>
      <w:r w:rsidR="007356AD" w:rsidRPr="00176113">
        <w:rPr>
          <w:rFonts w:ascii="Open Sans" w:hAnsi="Open Sans" w:cs="Open Sans"/>
          <w:b/>
          <w:sz w:val="24"/>
          <w:szCs w:val="24"/>
        </w:rPr>
        <w:t xml:space="preserve"> Wage Foundation rates of £8.25 o</w:t>
      </w:r>
      <w:r w:rsidRPr="00176113">
        <w:rPr>
          <w:rFonts w:ascii="Open Sans" w:hAnsi="Open Sans" w:cs="Open Sans"/>
          <w:b/>
          <w:sz w:val="24"/>
          <w:szCs w:val="24"/>
        </w:rPr>
        <w:t>utside of London and £9.40 in London with annual up rating.  Colleges to work to become Living Wages Foundation accredited.</w:t>
      </w:r>
    </w:p>
    <w:p w:rsidR="009B6FFC" w:rsidRPr="00E41A27" w:rsidRDefault="009B6FFC" w:rsidP="007356AD">
      <w:pPr>
        <w:spacing w:after="200"/>
        <w:rPr>
          <w:sz w:val="24"/>
          <w:szCs w:val="24"/>
        </w:rPr>
      </w:pPr>
      <w:r w:rsidRPr="00E41A27">
        <w:rPr>
          <w:rFonts w:ascii="Open Sans" w:hAnsi="Open Sans" w:cs="Open Sans"/>
          <w:bCs/>
          <w:color w:val="262626"/>
          <w:sz w:val="24"/>
          <w:szCs w:val="24"/>
        </w:rPr>
        <w:t>The pay arrangements in many colleges are already equivalent to or greater than the Living Wage Foundation rates.</w:t>
      </w:r>
    </w:p>
    <w:p w:rsidR="009B6FFC" w:rsidRPr="00E41A27" w:rsidRDefault="009B6FFC" w:rsidP="007356AD">
      <w:pPr>
        <w:spacing w:after="200"/>
        <w:rPr>
          <w:sz w:val="24"/>
          <w:szCs w:val="24"/>
        </w:rPr>
      </w:pPr>
      <w:r w:rsidRPr="00E41A27">
        <w:rPr>
          <w:rFonts w:ascii="Open Sans" w:hAnsi="Open Sans" w:cs="Open Sans"/>
          <w:bCs/>
          <w:color w:val="262626"/>
          <w:sz w:val="24"/>
          <w:szCs w:val="24"/>
        </w:rPr>
        <w:t>Where this is not the case, colleges should consider strategies to address this as part of an overall review of reward, employment offering and job design.  The decision on whether or not to formalise accreditation is a matter for individual colleges based on their particular circumstances.  </w:t>
      </w:r>
    </w:p>
    <w:p w:rsidR="009B6FFC" w:rsidRPr="00176113" w:rsidRDefault="009B6FFC" w:rsidP="007356AD">
      <w:pPr>
        <w:spacing w:after="200"/>
        <w:contextualSpacing/>
        <w:rPr>
          <w:b/>
          <w:sz w:val="24"/>
          <w:szCs w:val="24"/>
        </w:rPr>
      </w:pPr>
      <w:proofErr w:type="gramStart"/>
      <w:r w:rsidRPr="00176113">
        <w:rPr>
          <w:rFonts w:ascii="Open Sans" w:hAnsi="Open Sans" w:cs="Open Sans"/>
          <w:b/>
          <w:sz w:val="24"/>
          <w:szCs w:val="24"/>
        </w:rPr>
        <w:t>£1 extra per hour for all staff.</w:t>
      </w:r>
      <w:proofErr w:type="gramEnd"/>
      <w:r w:rsidRPr="00176113">
        <w:rPr>
          <w:rFonts w:ascii="Open Sans" w:hAnsi="Open Sans" w:cs="Open Sans"/>
          <w:b/>
          <w:sz w:val="24"/>
          <w:szCs w:val="24"/>
        </w:rPr>
        <w:t xml:space="preserve">  </w:t>
      </w:r>
    </w:p>
    <w:p w:rsidR="009B6FFC" w:rsidRPr="00E41A27" w:rsidRDefault="009B6FFC" w:rsidP="007356AD">
      <w:pPr>
        <w:spacing w:after="200"/>
        <w:ind w:left="1020"/>
        <w:contextualSpacing/>
        <w:rPr>
          <w:sz w:val="24"/>
          <w:szCs w:val="24"/>
        </w:rPr>
      </w:pPr>
      <w:r w:rsidRPr="00E41A27">
        <w:rPr>
          <w:rFonts w:ascii="Open Sans" w:hAnsi="Open Sans" w:cs="Open Sans"/>
          <w:color w:val="FF0000"/>
          <w:sz w:val="24"/>
          <w:szCs w:val="24"/>
        </w:rPr>
        <w:t> </w:t>
      </w:r>
    </w:p>
    <w:p w:rsidR="009B6FFC" w:rsidRPr="00E41A27" w:rsidRDefault="009B6FFC" w:rsidP="007356AD">
      <w:pPr>
        <w:spacing w:after="200"/>
        <w:contextualSpacing/>
        <w:rPr>
          <w:sz w:val="24"/>
          <w:szCs w:val="24"/>
        </w:rPr>
      </w:pPr>
      <w:r w:rsidRPr="00E41A27">
        <w:rPr>
          <w:rFonts w:ascii="Open Sans" w:hAnsi="Open Sans" w:cs="Open Sans"/>
          <w:bCs/>
          <w:sz w:val="24"/>
          <w:szCs w:val="24"/>
        </w:rPr>
        <w:t>Whilst it is recognised that this element of the claim is intended to address pay at the lower end of the pay spines,  for colleges (based upon the current AoC pay spines) this represents increases of between 10.2% - 13.1% before employers on costs are accounted for and would in the main be unaffordable for most colleges.</w:t>
      </w:r>
    </w:p>
    <w:p w:rsidR="009B6FFC" w:rsidRPr="00E41A27" w:rsidRDefault="009B6FFC" w:rsidP="007356AD">
      <w:pPr>
        <w:rPr>
          <w:sz w:val="24"/>
          <w:szCs w:val="24"/>
        </w:rPr>
      </w:pPr>
      <w:r w:rsidRPr="00E41A27">
        <w:rPr>
          <w:rFonts w:ascii="Open Sans" w:hAnsi="Open Sans" w:cs="Open Sans"/>
          <w:bCs/>
          <w:sz w:val="24"/>
          <w:szCs w:val="24"/>
        </w:rPr>
        <w:lastRenderedPageBreak/>
        <w:t> </w:t>
      </w:r>
    </w:p>
    <w:p w:rsidR="009B6FFC" w:rsidRPr="00E41A27" w:rsidRDefault="009B6FFC" w:rsidP="007356AD">
      <w:pPr>
        <w:rPr>
          <w:b/>
          <w:sz w:val="24"/>
          <w:szCs w:val="24"/>
        </w:rPr>
      </w:pPr>
      <w:r w:rsidRPr="00E41A27">
        <w:rPr>
          <w:rFonts w:ascii="Open Sans" w:hAnsi="Open Sans" w:cs="Open Sans"/>
          <w:b/>
          <w:bCs/>
          <w:sz w:val="24"/>
          <w:szCs w:val="24"/>
        </w:rPr>
        <w:t>Pay Recommendation</w:t>
      </w:r>
    </w:p>
    <w:p w:rsidR="009B6FFC" w:rsidRPr="00E41A27" w:rsidRDefault="009B6FFC" w:rsidP="007356AD">
      <w:pPr>
        <w:rPr>
          <w:sz w:val="24"/>
          <w:szCs w:val="24"/>
        </w:rPr>
      </w:pPr>
      <w:r w:rsidRPr="00E41A27">
        <w:rPr>
          <w:rFonts w:ascii="Open Sans" w:hAnsi="Open Sans" w:cs="Open Sans"/>
          <w:bCs/>
          <w:sz w:val="24"/>
          <w:szCs w:val="24"/>
        </w:rPr>
        <w:t> </w:t>
      </w:r>
    </w:p>
    <w:p w:rsidR="009B6FFC" w:rsidRPr="00176113" w:rsidRDefault="00176113" w:rsidP="007356AD">
      <w:pPr>
        <w:rPr>
          <w:sz w:val="24"/>
          <w:szCs w:val="24"/>
        </w:rPr>
      </w:pPr>
      <w:r w:rsidRPr="00176113">
        <w:rPr>
          <w:rFonts w:ascii="Open Sans" w:hAnsi="Open Sans" w:cs="Open Sans"/>
          <w:sz w:val="24"/>
          <w:szCs w:val="24"/>
        </w:rPr>
        <w:t xml:space="preserve">The </w:t>
      </w:r>
      <w:r w:rsidR="009B6FFC" w:rsidRPr="00176113">
        <w:rPr>
          <w:rFonts w:ascii="Open Sans" w:hAnsi="Open Sans" w:cs="Open Sans"/>
          <w:sz w:val="24"/>
          <w:szCs w:val="24"/>
        </w:rPr>
        <w:t xml:space="preserve">AoC </w:t>
      </w:r>
      <w:r w:rsidR="008D3E25" w:rsidRPr="00176113">
        <w:rPr>
          <w:rFonts w:ascii="Open Sans" w:hAnsi="Open Sans" w:cs="Open Sans"/>
          <w:sz w:val="24"/>
          <w:szCs w:val="24"/>
        </w:rPr>
        <w:t xml:space="preserve">remains </w:t>
      </w:r>
      <w:r w:rsidR="009B6FFC" w:rsidRPr="00176113">
        <w:rPr>
          <w:rFonts w:ascii="Open Sans" w:hAnsi="Open Sans" w:cs="Open Sans"/>
          <w:sz w:val="24"/>
          <w:szCs w:val="24"/>
        </w:rPr>
        <w:t>mindful of</w:t>
      </w:r>
      <w:r w:rsidR="008D3E25" w:rsidRPr="00176113">
        <w:rPr>
          <w:rFonts w:ascii="Open Sans" w:hAnsi="Open Sans" w:cs="Open Sans"/>
          <w:sz w:val="24"/>
          <w:szCs w:val="24"/>
        </w:rPr>
        <w:t xml:space="preserve"> the continuing financial challenges facing colleges and </w:t>
      </w:r>
      <w:r w:rsidR="00C963C5" w:rsidRPr="00176113">
        <w:rPr>
          <w:rFonts w:ascii="Open Sans" w:hAnsi="Open Sans" w:cs="Open Sans"/>
          <w:sz w:val="24"/>
          <w:szCs w:val="24"/>
        </w:rPr>
        <w:t xml:space="preserve">the expected </w:t>
      </w:r>
      <w:r w:rsidR="008D3E25" w:rsidRPr="00176113">
        <w:rPr>
          <w:rFonts w:ascii="Open Sans" w:hAnsi="Open Sans" w:cs="Open Sans"/>
          <w:sz w:val="24"/>
          <w:szCs w:val="24"/>
        </w:rPr>
        <w:t xml:space="preserve">increases </w:t>
      </w:r>
      <w:r w:rsidR="009B6FFC" w:rsidRPr="00176113">
        <w:rPr>
          <w:rFonts w:ascii="Open Sans" w:hAnsi="Open Sans" w:cs="Open Sans"/>
          <w:sz w:val="24"/>
          <w:szCs w:val="24"/>
        </w:rPr>
        <w:t xml:space="preserve">in relation to pay costs when considering its recommendation.  </w:t>
      </w:r>
      <w:r w:rsidR="00C963C5" w:rsidRPr="00176113">
        <w:rPr>
          <w:rFonts w:ascii="Open Sans" w:hAnsi="Open Sans" w:cs="Open Sans"/>
          <w:sz w:val="24"/>
          <w:szCs w:val="24"/>
        </w:rPr>
        <w:t>The clear message</w:t>
      </w:r>
      <w:r w:rsidR="00E41A27" w:rsidRPr="00176113">
        <w:rPr>
          <w:rFonts w:ascii="Open Sans" w:hAnsi="Open Sans" w:cs="Open Sans"/>
          <w:sz w:val="24"/>
          <w:szCs w:val="24"/>
        </w:rPr>
        <w:t>s</w:t>
      </w:r>
      <w:r w:rsidR="00C963C5" w:rsidRPr="00176113">
        <w:rPr>
          <w:rFonts w:ascii="Open Sans" w:hAnsi="Open Sans" w:cs="Open Sans"/>
          <w:sz w:val="24"/>
          <w:szCs w:val="24"/>
        </w:rPr>
        <w:t xml:space="preserve"> from Area based reviews have also been taken into account.  </w:t>
      </w:r>
      <w:r w:rsidR="009B6FFC" w:rsidRPr="00176113">
        <w:rPr>
          <w:rFonts w:ascii="Open Sans" w:hAnsi="Open Sans" w:cs="Open Sans"/>
          <w:sz w:val="24"/>
          <w:szCs w:val="24"/>
          <w:lang w:val="en-US"/>
        </w:rPr>
        <w:t>There may be good and valid reasons in some cases for the higher % of pay:</w:t>
      </w:r>
      <w:r w:rsidR="007356AD" w:rsidRPr="00176113">
        <w:rPr>
          <w:rFonts w:ascii="Open Sans" w:hAnsi="Open Sans" w:cs="Open Sans"/>
          <w:sz w:val="24"/>
          <w:szCs w:val="24"/>
          <w:lang w:val="en-US"/>
        </w:rPr>
        <w:t xml:space="preserve"> </w:t>
      </w:r>
      <w:r w:rsidR="009B6FFC" w:rsidRPr="00176113">
        <w:rPr>
          <w:rFonts w:ascii="Open Sans" w:hAnsi="Open Sans" w:cs="Open Sans"/>
          <w:sz w:val="24"/>
          <w:szCs w:val="24"/>
          <w:lang w:val="en-US"/>
        </w:rPr>
        <w:t xml:space="preserve">income than the benchmark and it will be for colleges to put forward compelling reasons to support their decisions. </w:t>
      </w:r>
    </w:p>
    <w:p w:rsidR="009B6FFC" w:rsidRPr="00176113" w:rsidRDefault="009B6FFC" w:rsidP="007356AD">
      <w:pPr>
        <w:rPr>
          <w:color w:val="FF0000"/>
          <w:sz w:val="24"/>
          <w:szCs w:val="24"/>
        </w:rPr>
      </w:pPr>
      <w:r w:rsidRPr="00E41A27">
        <w:rPr>
          <w:rFonts w:ascii="Open Sans" w:hAnsi="Open Sans" w:cs="Open Sans"/>
          <w:bCs/>
          <w:color w:val="FF0000"/>
          <w:sz w:val="24"/>
          <w:szCs w:val="24"/>
        </w:rPr>
        <w:t> </w:t>
      </w:r>
    </w:p>
    <w:p w:rsidR="009B6FFC" w:rsidRPr="00E41A27" w:rsidRDefault="009B6FFC" w:rsidP="007356AD">
      <w:pPr>
        <w:rPr>
          <w:sz w:val="24"/>
          <w:szCs w:val="24"/>
        </w:rPr>
      </w:pPr>
      <w:r w:rsidRPr="00E41A27">
        <w:rPr>
          <w:rFonts w:ascii="Open Sans" w:hAnsi="Open Sans" w:cs="Open Sans"/>
          <w:sz w:val="24"/>
          <w:szCs w:val="24"/>
        </w:rPr>
        <w:t xml:space="preserve">In line with the headline pay recommendations in public services for 2016/17, </w:t>
      </w:r>
      <w:r w:rsidR="00176113">
        <w:rPr>
          <w:rFonts w:ascii="Open Sans" w:hAnsi="Open Sans" w:cs="Open Sans"/>
          <w:sz w:val="24"/>
          <w:szCs w:val="24"/>
        </w:rPr>
        <w:t xml:space="preserve">the </w:t>
      </w:r>
      <w:r w:rsidRPr="00E41A27">
        <w:rPr>
          <w:rFonts w:ascii="Open Sans" w:hAnsi="Open Sans" w:cs="Open Sans"/>
          <w:sz w:val="24"/>
          <w:szCs w:val="24"/>
        </w:rPr>
        <w:t>AoC will recommend the following to its members:-</w:t>
      </w:r>
    </w:p>
    <w:p w:rsidR="009B6FFC" w:rsidRPr="00E41A27" w:rsidRDefault="009B6FFC" w:rsidP="007356AD">
      <w:pPr>
        <w:rPr>
          <w:sz w:val="24"/>
          <w:szCs w:val="24"/>
        </w:rPr>
      </w:pPr>
      <w:r w:rsidRPr="00E41A27">
        <w:rPr>
          <w:rFonts w:ascii="Open Sans" w:hAnsi="Open Sans" w:cs="Open Sans"/>
          <w:sz w:val="24"/>
          <w:szCs w:val="24"/>
        </w:rPr>
        <w:t> </w:t>
      </w:r>
    </w:p>
    <w:p w:rsidR="009B6FFC" w:rsidRPr="00E41A27" w:rsidRDefault="009B6FFC" w:rsidP="007356AD">
      <w:pPr>
        <w:rPr>
          <w:sz w:val="24"/>
          <w:szCs w:val="24"/>
        </w:rPr>
      </w:pPr>
      <w:r w:rsidRPr="00E41A27">
        <w:rPr>
          <w:rFonts w:ascii="Open Sans" w:hAnsi="Open Sans" w:cs="Open Sans"/>
          <w:sz w:val="24"/>
          <w:szCs w:val="24"/>
        </w:rPr>
        <w:t xml:space="preserve">1% </w:t>
      </w:r>
      <w:r w:rsidR="007356AD">
        <w:rPr>
          <w:rFonts w:ascii="Open Sans" w:hAnsi="Open Sans" w:cs="Open Sans"/>
          <w:sz w:val="24"/>
          <w:szCs w:val="24"/>
        </w:rPr>
        <w:t xml:space="preserve">increase </w:t>
      </w:r>
      <w:r w:rsidR="00C963C5" w:rsidRPr="00E41A27">
        <w:rPr>
          <w:rFonts w:ascii="Open Sans" w:hAnsi="Open Sans" w:cs="Open Sans"/>
          <w:sz w:val="24"/>
          <w:szCs w:val="24"/>
        </w:rPr>
        <w:t xml:space="preserve">applied to all points </w:t>
      </w:r>
      <w:r w:rsidRPr="00E41A27">
        <w:rPr>
          <w:rFonts w:ascii="Open Sans" w:hAnsi="Open Sans" w:cs="Open Sans"/>
          <w:sz w:val="24"/>
          <w:szCs w:val="24"/>
        </w:rPr>
        <w:t xml:space="preserve">or £250 where this is more beneficial (typically salaries &lt;£25k).  </w:t>
      </w:r>
    </w:p>
    <w:p w:rsidR="009B6FFC" w:rsidRPr="00E41A27" w:rsidRDefault="009B6FFC" w:rsidP="007356AD">
      <w:pPr>
        <w:rPr>
          <w:sz w:val="24"/>
          <w:szCs w:val="24"/>
        </w:rPr>
      </w:pPr>
      <w:r w:rsidRPr="00E41A27">
        <w:rPr>
          <w:rFonts w:ascii="Open Sans" w:hAnsi="Open Sans" w:cs="Open Sans"/>
          <w:bCs/>
          <w:sz w:val="24"/>
          <w:szCs w:val="24"/>
        </w:rPr>
        <w:t> </w:t>
      </w:r>
    </w:p>
    <w:p w:rsidR="009B6FFC" w:rsidRPr="00E41A27" w:rsidRDefault="009B6FFC" w:rsidP="007356AD">
      <w:pPr>
        <w:rPr>
          <w:sz w:val="24"/>
          <w:szCs w:val="24"/>
        </w:rPr>
      </w:pPr>
      <w:r w:rsidRPr="00E41A27">
        <w:rPr>
          <w:rFonts w:ascii="Open Sans" w:hAnsi="Open Sans" w:cs="Open Sans"/>
          <w:sz w:val="24"/>
          <w:szCs w:val="24"/>
        </w:rPr>
        <w:t>Where an award is made and affordable, colleges should implement</w:t>
      </w:r>
      <w:r w:rsidR="008D3E25" w:rsidRPr="00E41A27">
        <w:rPr>
          <w:rFonts w:ascii="Open Sans" w:hAnsi="Open Sans" w:cs="Open Sans"/>
          <w:sz w:val="24"/>
          <w:szCs w:val="24"/>
        </w:rPr>
        <w:t xml:space="preserve"> with effect from either August 1,</w:t>
      </w:r>
      <w:r w:rsidRPr="00E41A27">
        <w:rPr>
          <w:rFonts w:ascii="Open Sans" w:hAnsi="Open Sans" w:cs="Open Sans"/>
          <w:sz w:val="24"/>
          <w:szCs w:val="24"/>
        </w:rPr>
        <w:t xml:space="preserve"> their usual ‘award’ date</w:t>
      </w:r>
      <w:r w:rsidR="008D3E25" w:rsidRPr="00E41A27">
        <w:rPr>
          <w:rFonts w:ascii="Open Sans" w:hAnsi="Open Sans" w:cs="Open Sans"/>
          <w:sz w:val="24"/>
          <w:szCs w:val="24"/>
        </w:rPr>
        <w:t xml:space="preserve"> where this is not August 1</w:t>
      </w:r>
      <w:r w:rsidRPr="00E41A27">
        <w:rPr>
          <w:rFonts w:ascii="Open Sans" w:hAnsi="Open Sans" w:cs="Open Sans"/>
          <w:sz w:val="24"/>
          <w:szCs w:val="24"/>
        </w:rPr>
        <w:t xml:space="preserve"> or at the nearest available date thereafter subject to local conditions.</w:t>
      </w:r>
    </w:p>
    <w:p w:rsidR="009B6FFC" w:rsidRPr="00E41A27" w:rsidRDefault="009B6FFC" w:rsidP="007356AD">
      <w:pPr>
        <w:spacing w:after="200"/>
        <w:rPr>
          <w:sz w:val="24"/>
          <w:szCs w:val="24"/>
        </w:rPr>
      </w:pPr>
      <w:r w:rsidRPr="00E41A27">
        <w:rPr>
          <w:rFonts w:ascii="Open Sans" w:hAnsi="Open Sans" w:cs="Open Sans"/>
          <w:sz w:val="24"/>
          <w:szCs w:val="24"/>
        </w:rPr>
        <w:t> </w:t>
      </w:r>
    </w:p>
    <w:p w:rsidR="005D22FA" w:rsidRPr="00E41A27" w:rsidRDefault="005D22FA" w:rsidP="007356AD">
      <w:pPr>
        <w:rPr>
          <w:rFonts w:ascii="Open Sans" w:hAnsi="Open Sans" w:cs="Open Sans"/>
          <w:sz w:val="24"/>
          <w:szCs w:val="24"/>
        </w:rPr>
      </w:pPr>
    </w:p>
    <w:sectPr w:rsidR="005D22FA" w:rsidRPr="00E41A27" w:rsidSect="003B5E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0A0B"/>
    <w:multiLevelType w:val="hybridMultilevel"/>
    <w:tmpl w:val="8EA60530"/>
    <w:lvl w:ilvl="0" w:tplc="294A6E0E">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A9A66E4"/>
    <w:multiLevelType w:val="hybridMultilevel"/>
    <w:tmpl w:val="A5206B3A"/>
    <w:lvl w:ilvl="0" w:tplc="CDF0113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6FFC"/>
    <w:rsid w:val="00176113"/>
    <w:rsid w:val="001C064A"/>
    <w:rsid w:val="003B5EAE"/>
    <w:rsid w:val="003C0287"/>
    <w:rsid w:val="005B5E13"/>
    <w:rsid w:val="005D22FA"/>
    <w:rsid w:val="007356AD"/>
    <w:rsid w:val="007B3412"/>
    <w:rsid w:val="008055F6"/>
    <w:rsid w:val="008D3E25"/>
    <w:rsid w:val="008E6571"/>
    <w:rsid w:val="009B6FFC"/>
    <w:rsid w:val="00A76493"/>
    <w:rsid w:val="00C963C5"/>
    <w:rsid w:val="00CF65C9"/>
    <w:rsid w:val="00D85C62"/>
    <w:rsid w:val="00E41A27"/>
    <w:rsid w:val="00EF1CA0"/>
    <w:rsid w:val="00F947A8"/>
    <w:rsid w:val="00FD30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FC"/>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E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FC"/>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E25"/>
    <w:pPr>
      <w:ind w:left="720"/>
      <w:contextualSpacing/>
    </w:pPr>
  </w:style>
</w:styles>
</file>

<file path=word/webSettings.xml><?xml version="1.0" encoding="utf-8"?>
<w:webSettings xmlns:r="http://schemas.openxmlformats.org/officeDocument/2006/relationships" xmlns:w="http://schemas.openxmlformats.org/wordprocessingml/2006/main">
  <w:divs>
    <w:div w:id="340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1F50B41ACB15BA42AD1116117A6FCB88" ma:contentTypeVersion="15" ma:contentTypeDescription="Create a new Word Document" ma:contentTypeScope="" ma:versionID="16aa91ece465ba23e147ec4a25335f7e">
  <xsd:schema xmlns:xsd="http://www.w3.org/2001/XMLSchema" xmlns:p="http://schemas.microsoft.com/office/2006/metadata/properties" xmlns:ns2="6e86cc80-d06d-4e8f-b8eb-114dcfb506da" xmlns:ns3="ed6fa433-a7ba-4094-9c1e-0c5af1b7a56c" targetNamespace="http://schemas.microsoft.com/office/2006/metadata/properties" ma:root="true" ma:fieldsID="8ef3735f7238d56831c48b8c3853e074" ns2:_="" ns3:_="">
    <xsd:import namespace="6e86cc80-d06d-4e8f-b8eb-114dcfb506da"/>
    <xsd:import namespace="ed6fa433-a7ba-4094-9c1e-0c5af1b7a56c"/>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Doc_x0020_Type"/>
                <xsd:element ref="ns3:Doc_x0020_Date"/>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ed6fa433-a7ba-4094-9c1e-0c5af1b7a56c"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 ma:index="18" ma:displayName="Doc Type" ma:list="{78befd77-8325-4b50-8645-2aa9a8f40a36}" ma:internalName="Doc_x0020_Type" ma:readOnly="false" ma:showField="Title">
      <xsd:simpleType>
        <xsd:restriction base="dms:Lookup"/>
      </xsd:simpleType>
    </xsd:element>
    <xsd:element name="Doc_x0020_Date" ma:index="19" ma:displayName="Doc Date" ma:format="DateOnly" ma:internalName="Doc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UNISON_x0020_Source_x0020_URL xmlns="ed6fa433-a7ba-4094-9c1e-0c5af1b7a56c">
      <Url xmlns="ed6fa433-a7ba-4094-9c1e-0c5af1b7a56c" xsi:nil="true"/>
      <Description xmlns="ed6fa433-a7ba-4094-9c1e-0c5af1b7a56c" xsi:nil="true"/>
    </UNISON_x0020_Source_x0020_URL>
    <Submitter xmlns="6e86cc80-d06d-4e8f-b8eb-114dcfb506da" xsi:nil="true"/>
    <Date_x0020_Submitted xmlns="ed6fa433-a7ba-4094-9c1e-0c5af1b7a56c" xsi:nil="true"/>
    <Approver xmlns="6e86cc80-d06d-4e8f-b8eb-114dcfb506da" xsi:nil="true"/>
    <Date_x0020_Approved xmlns="ed6fa433-a7ba-4094-9c1e-0c5af1b7a56c" xsi:nil="true"/>
    <Approved_x0020_Version xmlns="ed6fa433-a7ba-4094-9c1e-0c5af1b7a56c" xsi:nil="true"/>
    <UNISON_x0020_Target_x0020_URL xmlns="ed6fa433-a7ba-4094-9c1e-0c5af1b7a56c">
      <Url xmlns="ed6fa433-a7ba-4094-9c1e-0c5af1b7a56c" xsi:nil="true"/>
      <Description xmlns="ed6fa433-a7ba-4094-9c1e-0c5af1b7a56c" xsi:nil="true"/>
    </UNISON_x0020_Target_x0020_URL>
    <Doc_x0020_Type xmlns="ed6fa433-a7ba-4094-9c1e-0c5af1b7a56c">1</Doc_x0020_Type>
    <Doc_x0020_Date xmlns="ed6fa433-a7ba-4094-9c1e-0c5af1b7a56c">2016-11-24T00:00:00</Doc_x0020_Date>
  </documentManagement>
</p:properties>
</file>

<file path=customXml/itemProps1.xml><?xml version="1.0" encoding="utf-8"?>
<ds:datastoreItem xmlns:ds="http://schemas.openxmlformats.org/officeDocument/2006/customXml" ds:itemID="{E95FE74A-7A6F-4AB5-822F-07F4FEC45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ed6fa433-a7ba-4094-9c1e-0c5af1b7a5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ADF79FB-7ACE-49DD-9ADE-93BB56A7A6C3}">
  <ds:schemaRefs>
    <ds:schemaRef ds:uri="http://schemas.microsoft.com/sharepoint/events"/>
  </ds:schemaRefs>
</ds:datastoreItem>
</file>

<file path=customXml/itemProps3.xml><?xml version="1.0" encoding="utf-8"?>
<ds:datastoreItem xmlns:ds="http://schemas.openxmlformats.org/officeDocument/2006/customXml" ds:itemID="{9772DF9E-4023-4E1A-87D9-7F080CA58B8C}">
  <ds:schemaRefs>
    <ds:schemaRef ds:uri="http://schemas.microsoft.com/office/2006/metadata/customXsn"/>
  </ds:schemaRefs>
</ds:datastoreItem>
</file>

<file path=customXml/itemProps4.xml><?xml version="1.0" encoding="utf-8"?>
<ds:datastoreItem xmlns:ds="http://schemas.openxmlformats.org/officeDocument/2006/customXml" ds:itemID="{9B524163-E6B1-45CF-B468-8A72F315DAA2}">
  <ds:schemaRefs>
    <ds:schemaRef ds:uri="http://schemas.microsoft.com/sharepoint/v3/contenttype/forms"/>
  </ds:schemaRefs>
</ds:datastoreItem>
</file>

<file path=customXml/itemProps5.xml><?xml version="1.0" encoding="utf-8"?>
<ds:datastoreItem xmlns:ds="http://schemas.openxmlformats.org/officeDocument/2006/customXml" ds:itemID="{7157D293-C2AE-48FD-8F76-B6984BA7514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ed6fa433-a7ba-4094-9c1e-0c5af1b7a56c"/>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Association Of Colleges</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dc:creator>
  <cp:lastModifiedBy>NONE</cp:lastModifiedBy>
  <cp:revision>2</cp:revision>
  <dcterms:created xsi:type="dcterms:W3CDTF">2016-11-24T12:55:00Z</dcterms:created>
  <dcterms:modified xsi:type="dcterms:W3CDTF">2016-11-24T12:55:00Z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0x0101000C8E16668653CB47B6E8E0CE928ABAD501001F50B41ACB15BA42AD1116117A6FCB88</vt:lpwstr>
  </property>
</Properties>
</file>