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9A" w:rsidRDefault="00941839" w:rsidP="0043549A">
      <w:pPr>
        <w:pStyle w:val="Default"/>
      </w:pPr>
      <w:r>
        <w:t xml:space="preserve">                  </w:t>
      </w:r>
      <w:r w:rsidR="00AF27A1">
        <w:rPr>
          <w:noProof/>
        </w:rPr>
        <w:drawing>
          <wp:inline distT="0" distB="0" distL="0" distR="0">
            <wp:extent cx="19812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AF27A1">
        <w:rPr>
          <w:noProof/>
        </w:rPr>
        <w:drawing>
          <wp:inline distT="0" distB="0" distL="0" distR="0">
            <wp:extent cx="82867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43549A" w:rsidRDefault="0043549A" w:rsidP="0043549A">
      <w:pPr>
        <w:pStyle w:val="Default"/>
      </w:pPr>
    </w:p>
    <w:p w:rsidR="00AF27A1" w:rsidRDefault="00AF27A1" w:rsidP="0043549A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43549A" w:rsidRPr="00941839" w:rsidRDefault="0043549A" w:rsidP="0043549A">
      <w:pPr>
        <w:pStyle w:val="Default"/>
        <w:rPr>
          <w:sz w:val="32"/>
          <w:szCs w:val="32"/>
        </w:rPr>
      </w:pPr>
      <w:r w:rsidRPr="00941839">
        <w:rPr>
          <w:b/>
          <w:bCs/>
          <w:sz w:val="32"/>
          <w:szCs w:val="32"/>
        </w:rPr>
        <w:t xml:space="preserve">TUPE Transfer commitments </w:t>
      </w:r>
    </w:p>
    <w:p w:rsidR="0043549A" w:rsidRDefault="0043549A" w:rsidP="0043549A">
      <w:pPr>
        <w:pStyle w:val="Default"/>
        <w:rPr>
          <w:sz w:val="23"/>
          <w:szCs w:val="23"/>
        </w:rPr>
      </w:pPr>
    </w:p>
    <w:p w:rsidR="0043549A" w:rsidRPr="0043549A" w:rsidRDefault="0043549A" w:rsidP="0043549A">
      <w:pPr>
        <w:pStyle w:val="Default"/>
      </w:pPr>
      <w:r w:rsidRPr="0043549A">
        <w:t>11</w:t>
      </w:r>
      <w:r w:rsidRPr="0043549A">
        <w:rPr>
          <w:vertAlign w:val="superscript"/>
        </w:rPr>
        <w:t>th</w:t>
      </w:r>
      <w:r w:rsidRPr="0043549A">
        <w:t xml:space="preserve"> May 2015 </w:t>
      </w:r>
    </w:p>
    <w:p w:rsidR="0043549A" w:rsidRPr="0043549A" w:rsidRDefault="0043549A" w:rsidP="0043549A">
      <w:pPr>
        <w:pStyle w:val="Default"/>
        <w:rPr>
          <w:b/>
          <w:bCs/>
        </w:rPr>
      </w:pPr>
    </w:p>
    <w:p w:rsidR="0043549A" w:rsidRPr="0043549A" w:rsidRDefault="0043549A" w:rsidP="0043549A">
      <w:pPr>
        <w:pStyle w:val="Default"/>
        <w:rPr>
          <w:b/>
          <w:bCs/>
        </w:rPr>
      </w:pPr>
      <w:r w:rsidRPr="0043549A">
        <w:rPr>
          <w:b/>
          <w:bCs/>
        </w:rPr>
        <w:t xml:space="preserve">UNISON is seeking the following TUPE plus agreement with the local Authority and the Landscape group </w:t>
      </w:r>
    </w:p>
    <w:p w:rsidR="0043549A" w:rsidRPr="0043549A" w:rsidRDefault="0043549A" w:rsidP="0043549A">
      <w:pPr>
        <w:pStyle w:val="Default"/>
        <w:rPr>
          <w:b/>
          <w:bCs/>
        </w:rPr>
      </w:pPr>
    </w:p>
    <w:p w:rsidR="0043549A" w:rsidRPr="0043549A" w:rsidRDefault="0043549A" w:rsidP="0043549A">
      <w:pPr>
        <w:pStyle w:val="Default"/>
      </w:pPr>
      <w:r w:rsidRPr="0043549A">
        <w:rPr>
          <w:b/>
          <w:bCs/>
        </w:rPr>
        <w:t xml:space="preserve">TUPE Transfer Commitments </w:t>
      </w:r>
      <w:r>
        <w:rPr>
          <w:b/>
          <w:bCs/>
        </w:rPr>
        <w:t xml:space="preserve">Sought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1. A guarantee that TUPE will last for the length of contract (the regulations do not specify a time period). This is essential to protect conditions of service, existing redundancy payments and early retirement provisions.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2. Any variation to conditions of service would only be introduced following a collective agreement with the appropriate trade unions’ local branches.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3. New starters will be on the same terms and conditions and the company will not operate a two-tier workforce.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4. All TUPE transferred employees and new staff must have the option of remaining within or joining the Local Government Pension Scheme or Teachers' Pension Scheme as appropriate.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5. Agreed local government pay awards will be implemented in full unless otherwise agreed with the recognised trade unions. There will be no requirements of </w:t>
      </w:r>
      <w:proofErr w:type="spellStart"/>
      <w:r w:rsidRPr="0043549A">
        <w:t>TUPEd</w:t>
      </w:r>
      <w:proofErr w:type="spellEnd"/>
      <w:r w:rsidRPr="0043549A">
        <w:t xml:space="preserve"> staff to move to the new employer’s own terms and conditions e.g. redeployment and promotion.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7. The new employer will commit to adopt all the existing Council’s Employees Staff Handbook Policies and Procedures including operational guidelines.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8. The new employer will provide a workforce development, education and training plan in partnership with the Council and the trade unions. </w:t>
      </w:r>
    </w:p>
    <w:p w:rsidR="0043549A" w:rsidRPr="0043549A" w:rsidRDefault="0043549A" w:rsidP="0043549A">
      <w:pPr>
        <w:pStyle w:val="Default"/>
      </w:pPr>
      <w:r w:rsidRPr="0043549A">
        <w:t xml:space="preserve">9. The job evaluation scheme in use at the point of transfer will be applied for the duration of the contract. </w:t>
      </w:r>
    </w:p>
    <w:p w:rsidR="0043549A" w:rsidRPr="0043549A" w:rsidRDefault="0043549A" w:rsidP="0043549A">
      <w:pPr>
        <w:pStyle w:val="Default"/>
      </w:pPr>
    </w:p>
    <w:p w:rsidR="0043549A" w:rsidRPr="0043549A" w:rsidRDefault="0043549A" w:rsidP="0043549A">
      <w:pPr>
        <w:pStyle w:val="Default"/>
        <w:spacing w:after="277"/>
      </w:pPr>
      <w:r w:rsidRPr="0043549A">
        <w:t xml:space="preserve">10. The current trade union recognition must be maintained, unless changed by joint agreement, for the duration of the contract. This should cover new staff </w:t>
      </w:r>
      <w:proofErr w:type="gramStart"/>
      <w:r w:rsidRPr="0043549A">
        <w:t>who</w:t>
      </w:r>
      <w:proofErr w:type="gramEnd"/>
      <w:r w:rsidRPr="0043549A">
        <w:t xml:space="preserve"> must have equal opportunity to join a recognised trade union.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11. The new employer gives an undertaking not to offshore work and not to transfer jobs out of the Borough.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12. There will be no restrictions on the employment status of branch trade union officers in the representation of their members. </w:t>
      </w:r>
    </w:p>
    <w:p w:rsidR="0043549A" w:rsidRPr="0043549A" w:rsidRDefault="0043549A" w:rsidP="0043549A">
      <w:pPr>
        <w:pStyle w:val="Default"/>
        <w:spacing w:after="277"/>
      </w:pPr>
      <w:r w:rsidRPr="0043549A">
        <w:lastRenderedPageBreak/>
        <w:t xml:space="preserve">13. A new employer will be required to provide a check-off facility for the deduction of trade union subscriptions.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14. The new employer will be required to make a contribution to the Council’s </w:t>
      </w:r>
      <w:proofErr w:type="gramStart"/>
      <w:r w:rsidRPr="0043549A">
        <w:t>Corporate</w:t>
      </w:r>
      <w:proofErr w:type="gramEnd"/>
      <w:r w:rsidRPr="0043549A">
        <w:t xml:space="preserve"> facility time budget and/or the schools' traded service for TU facilities time to ensure transferred employees continue to receive support from trade union branches.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15. The Council must allocate adequate resources to fully and effectively monitor the employment and health &amp; safety policies and practices of the contractor as an integral part of the performance management and reporting process.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16. No staff on the contract will earn less than the London Living Wage. </w:t>
      </w:r>
    </w:p>
    <w:p w:rsidR="0043549A" w:rsidRPr="0043549A" w:rsidRDefault="0043549A" w:rsidP="0043549A">
      <w:pPr>
        <w:pStyle w:val="Default"/>
        <w:spacing w:after="277"/>
      </w:pPr>
      <w:r w:rsidRPr="0043549A">
        <w:t xml:space="preserve">17. No staff on the contract to be employed on zero hours contracts. </w:t>
      </w:r>
    </w:p>
    <w:p w:rsidR="0043549A" w:rsidRPr="0043549A" w:rsidRDefault="0043549A" w:rsidP="0043549A">
      <w:pPr>
        <w:pStyle w:val="Default"/>
      </w:pPr>
      <w:r w:rsidRPr="0043549A">
        <w:t xml:space="preserve">18. Any sub-contractor commissioned to run any of the services included in the contract will be required to adopt the same TUPE Transfer Commitments. </w:t>
      </w:r>
    </w:p>
    <w:p w:rsidR="0043549A" w:rsidRPr="0043549A" w:rsidRDefault="0043549A" w:rsidP="0043549A">
      <w:pPr>
        <w:pStyle w:val="Default"/>
      </w:pPr>
    </w:p>
    <w:p w:rsidR="0043549A" w:rsidRPr="0043549A" w:rsidRDefault="0043549A" w:rsidP="0043549A">
      <w:pPr>
        <w:pStyle w:val="Default"/>
      </w:pPr>
    </w:p>
    <w:p w:rsidR="0043549A" w:rsidRPr="0043549A" w:rsidRDefault="0043549A" w:rsidP="0043549A">
      <w:pPr>
        <w:pStyle w:val="Default"/>
      </w:pPr>
    </w:p>
    <w:p w:rsidR="0043549A" w:rsidRPr="0043549A" w:rsidRDefault="0043549A" w:rsidP="0043549A">
      <w:pPr>
        <w:pStyle w:val="Default"/>
      </w:pPr>
    </w:p>
    <w:p w:rsidR="00956247" w:rsidRPr="0043549A" w:rsidRDefault="00956247" w:rsidP="00956247"/>
    <w:sectPr w:rsidR="00956247" w:rsidRPr="0043549A" w:rsidSect="00AA083F">
      <w:headerReference w:type="default" r:id="rId8"/>
      <w:pgSz w:w="11904" w:h="17338"/>
      <w:pgMar w:top="1871" w:right="861" w:bottom="1371" w:left="82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A3" w:rsidRDefault="001F0EA3" w:rsidP="0043549A">
      <w:r>
        <w:separator/>
      </w:r>
    </w:p>
  </w:endnote>
  <w:endnote w:type="continuationSeparator" w:id="0">
    <w:p w:rsidR="001F0EA3" w:rsidRDefault="001F0EA3" w:rsidP="0043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A3" w:rsidRDefault="001F0EA3" w:rsidP="0043549A">
      <w:r>
        <w:separator/>
      </w:r>
    </w:p>
  </w:footnote>
  <w:footnote w:type="continuationSeparator" w:id="0">
    <w:p w:rsidR="001F0EA3" w:rsidRDefault="001F0EA3" w:rsidP="0043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9A" w:rsidRDefault="0043549A">
    <w:pPr>
      <w:pStyle w:val="Header"/>
    </w:pPr>
  </w:p>
  <w:p w:rsidR="0043549A" w:rsidRDefault="004354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9A"/>
    <w:rsid w:val="0004778A"/>
    <w:rsid w:val="000C5784"/>
    <w:rsid w:val="001E1EA3"/>
    <w:rsid w:val="001F0EA3"/>
    <w:rsid w:val="0022668A"/>
    <w:rsid w:val="003279F3"/>
    <w:rsid w:val="0043549A"/>
    <w:rsid w:val="0049484D"/>
    <w:rsid w:val="00764CBC"/>
    <w:rsid w:val="00893ADF"/>
    <w:rsid w:val="00941839"/>
    <w:rsid w:val="00956247"/>
    <w:rsid w:val="00AF27A1"/>
    <w:rsid w:val="00D04203"/>
    <w:rsid w:val="00D3456F"/>
    <w:rsid w:val="00DE3BB0"/>
    <w:rsid w:val="00ED51EA"/>
    <w:rsid w:val="00FA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customStyle="1" w:styleId="Default">
    <w:name w:val="Default"/>
    <w:rsid w:val="00435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5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54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35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549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customStyle="1" w:styleId="Default">
    <w:name w:val="Default"/>
    <w:rsid w:val="00435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5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54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35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549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Glenn</dc:creator>
  <cp:lastModifiedBy>NONE</cp:lastModifiedBy>
  <cp:revision>4</cp:revision>
  <cp:lastPrinted>2015-05-11T12:38:00Z</cp:lastPrinted>
  <dcterms:created xsi:type="dcterms:W3CDTF">2015-08-04T09:18:00Z</dcterms:created>
  <dcterms:modified xsi:type="dcterms:W3CDTF">2016-04-14T09:16:00Z</dcterms:modified>
</cp:coreProperties>
</file>