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bottom w:val="single" w:sz="12" w:space="0" w:color="auto"/>
        </w:tblBorders>
        <w:tblLayout w:type="fixed"/>
        <w:tblLook w:val="0000" w:firstRow="0" w:lastRow="0" w:firstColumn="0" w:lastColumn="0" w:noHBand="0" w:noVBand="0"/>
      </w:tblPr>
      <w:tblGrid>
        <w:gridCol w:w="7578"/>
        <w:gridCol w:w="2250"/>
      </w:tblGrid>
      <w:tr w:rsidR="00902D3E" w:rsidRPr="00D2538E" w14:paraId="50A53C45" w14:textId="77777777" w:rsidTr="00D15F91">
        <w:tc>
          <w:tcPr>
            <w:tcW w:w="7578" w:type="dxa"/>
          </w:tcPr>
          <w:p w14:paraId="50CA0930" w14:textId="77777777" w:rsidR="00902D3E" w:rsidRPr="00D2538E" w:rsidRDefault="00902D3E" w:rsidP="00D15F91">
            <w:pPr>
              <w:pStyle w:val="Footer"/>
              <w:rPr>
                <w:b/>
              </w:rPr>
            </w:pPr>
            <w:bookmarkStart w:id="0" w:name="_GoBack"/>
            <w:bookmarkEnd w:id="0"/>
          </w:p>
          <w:p w14:paraId="71CF52AC" w14:textId="77777777" w:rsidR="00902D3E" w:rsidRPr="00902D3E" w:rsidRDefault="00902D3E" w:rsidP="00D15F91">
            <w:pPr>
              <w:pStyle w:val="Footer"/>
              <w:rPr>
                <w:b/>
                <w:sz w:val="28"/>
                <w:szCs w:val="28"/>
              </w:rPr>
            </w:pPr>
            <w:r w:rsidRPr="00073647">
              <w:rPr>
                <w:b/>
                <w:sz w:val="28"/>
                <w:szCs w:val="28"/>
              </w:rPr>
              <w:t xml:space="preserve">Education and Children’s Services </w:t>
            </w:r>
          </w:p>
        </w:tc>
        <w:tc>
          <w:tcPr>
            <w:tcW w:w="2250" w:type="dxa"/>
          </w:tcPr>
          <w:p w14:paraId="39A38154" w14:textId="77777777" w:rsidR="00902D3E" w:rsidRPr="00831456" w:rsidRDefault="00902D3E" w:rsidP="00D15F91">
            <w:pPr>
              <w:rPr>
                <w:b/>
              </w:rPr>
            </w:pPr>
            <w:r>
              <w:rPr>
                <w:b/>
                <w:noProof/>
                <w:lang w:val="en-US" w:eastAsia="en-US"/>
              </w:rPr>
              <w:drawing>
                <wp:inline distT="0" distB="0" distL="0" distR="0" wp14:anchorId="7B28A1DA" wp14:editId="60D62300">
                  <wp:extent cx="1200150" cy="581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00150" cy="581025"/>
                          </a:xfrm>
                          <a:prstGeom prst="rect">
                            <a:avLst/>
                          </a:prstGeom>
                          <a:noFill/>
                          <a:ln w="9525">
                            <a:noFill/>
                            <a:miter lim="800000"/>
                            <a:headEnd/>
                            <a:tailEnd/>
                          </a:ln>
                        </pic:spPr>
                      </pic:pic>
                    </a:graphicData>
                  </a:graphic>
                </wp:inline>
              </w:drawing>
            </w:r>
          </w:p>
        </w:tc>
      </w:tr>
    </w:tbl>
    <w:p w14:paraId="6E060B37" w14:textId="77777777" w:rsidR="00902D3E" w:rsidRDefault="00902D3E" w:rsidP="00356873">
      <w:pPr>
        <w:jc w:val="center"/>
        <w:rPr>
          <w:rFonts w:ascii="Arial" w:hAnsi="Arial" w:cs="Arial"/>
          <w:color w:val="000000"/>
          <w:sz w:val="28"/>
          <w:szCs w:val="28"/>
        </w:rPr>
      </w:pPr>
    </w:p>
    <w:p w14:paraId="78E92940" w14:textId="77777777" w:rsidR="00A75FFF" w:rsidRDefault="00A75FFF" w:rsidP="007D0C3A">
      <w:pPr>
        <w:rPr>
          <w:rFonts w:ascii="Arial" w:hAnsi="Arial" w:cs="Arial"/>
          <w:b/>
          <w:color w:val="000000"/>
          <w:sz w:val="32"/>
          <w:szCs w:val="32"/>
        </w:rPr>
      </w:pPr>
    </w:p>
    <w:p w14:paraId="23E06839" w14:textId="77777777" w:rsidR="00356873" w:rsidRDefault="00902D3E" w:rsidP="007D0C3A">
      <w:pPr>
        <w:jc w:val="center"/>
        <w:rPr>
          <w:rFonts w:ascii="Arial" w:hAnsi="Arial" w:cs="Arial"/>
          <w:b/>
          <w:color w:val="000000"/>
          <w:sz w:val="32"/>
          <w:szCs w:val="32"/>
        </w:rPr>
      </w:pPr>
      <w:r w:rsidRPr="00A75FFF">
        <w:rPr>
          <w:rFonts w:ascii="Arial" w:hAnsi="Arial" w:cs="Arial"/>
          <w:b/>
          <w:color w:val="000000"/>
          <w:sz w:val="32"/>
          <w:szCs w:val="32"/>
        </w:rPr>
        <w:t>Branch Advice</w:t>
      </w:r>
    </w:p>
    <w:p w14:paraId="730B22CD" w14:textId="77777777" w:rsidR="00A75FFF" w:rsidRPr="00A75FFF" w:rsidRDefault="00A75FFF" w:rsidP="007D0C3A">
      <w:pPr>
        <w:rPr>
          <w:rFonts w:ascii="Arial" w:hAnsi="Arial" w:cs="Arial"/>
          <w:b/>
          <w:color w:val="000000"/>
          <w:sz w:val="32"/>
          <w:szCs w:val="32"/>
        </w:rPr>
      </w:pPr>
    </w:p>
    <w:p w14:paraId="0D431959" w14:textId="77777777" w:rsidR="00356873" w:rsidRDefault="00356873" w:rsidP="007D0C3A">
      <w:pPr>
        <w:rPr>
          <w:b/>
          <w:u w:val="single"/>
        </w:rPr>
      </w:pPr>
    </w:p>
    <w:p w14:paraId="62301D02" w14:textId="77777777" w:rsidR="00356873" w:rsidRPr="00A75FFF" w:rsidRDefault="00A75FFF" w:rsidP="00AD7C78">
      <w:pPr>
        <w:jc w:val="center"/>
        <w:rPr>
          <w:rFonts w:ascii="Arial" w:hAnsi="Arial" w:cs="Arial"/>
          <w:b/>
          <w:sz w:val="28"/>
          <w:szCs w:val="28"/>
        </w:rPr>
      </w:pPr>
      <w:r w:rsidRPr="00A75FFF">
        <w:rPr>
          <w:rFonts w:ascii="Arial" w:hAnsi="Arial" w:cs="Arial"/>
          <w:b/>
          <w:sz w:val="28"/>
          <w:szCs w:val="28"/>
        </w:rPr>
        <w:t xml:space="preserve">Contractual Rights for </w:t>
      </w:r>
      <w:r w:rsidR="00AD7C78">
        <w:rPr>
          <w:rFonts w:ascii="Arial" w:hAnsi="Arial" w:cs="Arial"/>
          <w:b/>
          <w:sz w:val="28"/>
          <w:szCs w:val="28"/>
        </w:rPr>
        <w:t>M</w:t>
      </w:r>
      <w:r w:rsidRPr="00A75FFF">
        <w:rPr>
          <w:rFonts w:ascii="Arial" w:hAnsi="Arial" w:cs="Arial"/>
          <w:b/>
          <w:sz w:val="28"/>
          <w:szCs w:val="28"/>
        </w:rPr>
        <w:t>ember</w:t>
      </w:r>
      <w:r w:rsidR="00AD7C78">
        <w:rPr>
          <w:rFonts w:ascii="Arial" w:hAnsi="Arial" w:cs="Arial"/>
          <w:b/>
          <w:sz w:val="28"/>
          <w:szCs w:val="28"/>
        </w:rPr>
        <w:t>s</w:t>
      </w:r>
      <w:r w:rsidRPr="00A75FFF">
        <w:rPr>
          <w:rFonts w:ascii="Arial" w:hAnsi="Arial" w:cs="Arial"/>
          <w:b/>
          <w:sz w:val="28"/>
          <w:szCs w:val="28"/>
        </w:rPr>
        <w:t xml:space="preserve"> in</w:t>
      </w:r>
      <w:r w:rsidR="00F14ABD" w:rsidRPr="00A75FFF">
        <w:rPr>
          <w:rFonts w:ascii="Arial" w:hAnsi="Arial" w:cs="Arial"/>
          <w:b/>
          <w:sz w:val="28"/>
          <w:szCs w:val="28"/>
        </w:rPr>
        <w:t xml:space="preserve"> </w:t>
      </w:r>
      <w:r w:rsidR="00356873" w:rsidRPr="00A75FFF">
        <w:rPr>
          <w:rFonts w:ascii="Arial" w:hAnsi="Arial" w:cs="Arial"/>
          <w:b/>
          <w:sz w:val="28"/>
          <w:szCs w:val="28"/>
        </w:rPr>
        <w:t xml:space="preserve">Schools </w:t>
      </w:r>
      <w:r w:rsidRPr="00A75FFF">
        <w:rPr>
          <w:rFonts w:ascii="Arial" w:hAnsi="Arial" w:cs="Arial"/>
          <w:b/>
          <w:sz w:val="28"/>
          <w:szCs w:val="28"/>
        </w:rPr>
        <w:t>T</w:t>
      </w:r>
      <w:r w:rsidR="00902D3E" w:rsidRPr="00A75FFF">
        <w:rPr>
          <w:rFonts w:ascii="Arial" w:hAnsi="Arial" w:cs="Arial"/>
          <w:b/>
          <w:sz w:val="28"/>
          <w:szCs w:val="28"/>
        </w:rPr>
        <w:t>hat Become Academies</w:t>
      </w:r>
    </w:p>
    <w:p w14:paraId="6AD5BFF9" w14:textId="77777777" w:rsidR="00902D3E" w:rsidRPr="00902D3E" w:rsidRDefault="00902D3E" w:rsidP="007D0C3A">
      <w:pPr>
        <w:rPr>
          <w:rFonts w:ascii="Arial" w:hAnsi="Arial" w:cs="Arial"/>
          <w:b/>
          <w:sz w:val="28"/>
          <w:szCs w:val="28"/>
          <w:u w:val="single"/>
        </w:rPr>
      </w:pPr>
    </w:p>
    <w:p w14:paraId="2532A307" w14:textId="77777777" w:rsidR="00356873" w:rsidRPr="00356873" w:rsidRDefault="00356873" w:rsidP="007D0C3A">
      <w:pPr>
        <w:rPr>
          <w:b/>
          <w:sz w:val="22"/>
          <w:szCs w:val="22"/>
          <w:u w:val="single"/>
        </w:rPr>
      </w:pPr>
    </w:p>
    <w:p w14:paraId="22A508DB" w14:textId="77777777" w:rsidR="00AD7C78" w:rsidRPr="00AD7C78" w:rsidRDefault="00356873" w:rsidP="007D0C3A">
      <w:pPr>
        <w:pStyle w:val="ListParagraph"/>
        <w:numPr>
          <w:ilvl w:val="0"/>
          <w:numId w:val="6"/>
        </w:numPr>
        <w:spacing w:after="0" w:line="240" w:lineRule="auto"/>
        <w:ind w:left="426"/>
        <w:rPr>
          <w:b/>
          <w:u w:val="single"/>
        </w:rPr>
      </w:pPr>
      <w:r w:rsidRPr="00356873">
        <w:t>This advi</w:t>
      </w:r>
      <w:r w:rsidR="00F6116F">
        <w:t>ce</w:t>
      </w:r>
      <w:r w:rsidR="00F14ABD">
        <w:t xml:space="preserve"> cover</w:t>
      </w:r>
      <w:r w:rsidR="00F6116F">
        <w:t>s</w:t>
      </w:r>
      <w:r w:rsidR="00F14ABD">
        <w:t xml:space="preserve"> schools that move</w:t>
      </w:r>
      <w:r w:rsidRPr="00356873">
        <w:t xml:space="preserve"> to academy status as a result of the 2010 Academies Act</w:t>
      </w:r>
      <w:r w:rsidR="00CF4579">
        <w:t xml:space="preserve"> and the 2016 Education and Adoption Act</w:t>
      </w:r>
      <w:r w:rsidRPr="00356873">
        <w:t>.</w:t>
      </w:r>
      <w:r w:rsidR="00AB6B75">
        <w:t xml:space="preserve"> The term “school” </w:t>
      </w:r>
      <w:r w:rsidR="00A01B7F">
        <w:t>as used in this document refers</w:t>
      </w:r>
      <w:r w:rsidR="00AB6B75">
        <w:t xml:space="preserve"> to schools, academ</w:t>
      </w:r>
      <w:r w:rsidR="00A01B7F">
        <w:t>i</w:t>
      </w:r>
      <w:r w:rsidR="00AB6B75">
        <w:t xml:space="preserve">es and multi academy trusts. </w:t>
      </w:r>
      <w:r w:rsidRPr="00356873">
        <w:t xml:space="preserve">  </w:t>
      </w:r>
      <w:r w:rsidR="002D2695">
        <w:t>It aims to g</w:t>
      </w:r>
      <w:r w:rsidR="00853E00">
        <w:t>ive branches some information</w:t>
      </w:r>
      <w:r w:rsidR="002D2695">
        <w:t xml:space="preserve"> about the rights of staff transferring into academies.</w:t>
      </w:r>
      <w:r w:rsidR="00853E00">
        <w:t xml:space="preserve"> The law is complex and branches should contact their region if they believe that the legal rights </w:t>
      </w:r>
      <w:r w:rsidR="00A01B7F">
        <w:t>of members</w:t>
      </w:r>
      <w:r w:rsidR="00853E00">
        <w:t xml:space="preserve"> are being infringed. </w:t>
      </w:r>
    </w:p>
    <w:p w14:paraId="30516DB6" w14:textId="77777777" w:rsidR="00AD7C78" w:rsidRPr="00AD7C78" w:rsidRDefault="00AD7C78" w:rsidP="00AD7C78">
      <w:pPr>
        <w:pStyle w:val="ListParagraph"/>
        <w:spacing w:after="0" w:line="240" w:lineRule="auto"/>
        <w:ind w:left="426"/>
        <w:rPr>
          <w:b/>
          <w:u w:val="single"/>
        </w:rPr>
      </w:pPr>
    </w:p>
    <w:p w14:paraId="3EEAA2C7" w14:textId="77777777" w:rsidR="00356873" w:rsidRPr="00356873" w:rsidRDefault="00356873" w:rsidP="007D0C3A">
      <w:pPr>
        <w:pStyle w:val="ListParagraph"/>
        <w:numPr>
          <w:ilvl w:val="0"/>
          <w:numId w:val="6"/>
        </w:numPr>
        <w:spacing w:after="0" w:line="240" w:lineRule="auto"/>
        <w:ind w:left="426"/>
        <w:rPr>
          <w:b/>
          <w:u w:val="single"/>
        </w:rPr>
      </w:pPr>
      <w:r w:rsidRPr="00356873">
        <w:t xml:space="preserve">Where employees working for schools are </w:t>
      </w:r>
      <w:r w:rsidR="00F6116F">
        <w:t>transferred to academies, the</w:t>
      </w:r>
      <w:r w:rsidRPr="00356873">
        <w:t xml:space="preserve"> </w:t>
      </w:r>
      <w:r w:rsidR="00F6116F">
        <w:t>transfer is</w:t>
      </w:r>
      <w:r w:rsidRPr="00356873">
        <w:t xml:space="preserve"> governed by the Transfer of Undertakings (Protection of Employment) Regulations 2006 (</w:t>
      </w:r>
      <w:r w:rsidR="00DD1358">
        <w:t>”The Regulations”</w:t>
      </w:r>
      <w:r w:rsidRPr="00356873">
        <w:t>).</w:t>
      </w:r>
      <w:r w:rsidR="00F6116F">
        <w:t xml:space="preserve"> The </w:t>
      </w:r>
      <w:r w:rsidR="00DD1358">
        <w:t xml:space="preserve">Regulations </w:t>
      </w:r>
      <w:r w:rsidR="00F6116F">
        <w:t>aim to preserve employee</w:t>
      </w:r>
      <w:r w:rsidRPr="00356873">
        <w:t>s</w:t>
      </w:r>
      <w:r w:rsidR="00F6116F">
        <w:t>’</w:t>
      </w:r>
      <w:r w:rsidRPr="00356873">
        <w:t xml:space="preserve"> statutory and contr</w:t>
      </w:r>
      <w:r w:rsidR="00F6116F">
        <w:t>actual employment rights on transfer</w:t>
      </w:r>
      <w:r w:rsidR="00F14ABD">
        <w:t>. T</w:t>
      </w:r>
      <w:r w:rsidR="00F6116F">
        <w:t>he</w:t>
      </w:r>
      <w:r w:rsidR="00F14ABD">
        <w:t xml:space="preserve"> </w:t>
      </w:r>
      <w:r w:rsidR="00DD1358">
        <w:t xml:space="preserve">Regulations </w:t>
      </w:r>
      <w:r w:rsidR="00F14ABD">
        <w:t xml:space="preserve">were amended by the </w:t>
      </w:r>
      <w:hyperlink r:id="rId13" w:tgtFrame="_blank" w:tooltip="Link to Regulations" w:history="1">
        <w:r w:rsidR="00353D6E" w:rsidRPr="00353D6E">
          <w:rPr>
            <w:rFonts w:eastAsia="Times New Roman"/>
            <w:color w:val="0000FF"/>
            <w:u w:val="single"/>
            <w:lang w:eastAsia="en-GB"/>
          </w:rPr>
          <w:t>Collective Redundancies and Transfer of Undertakings (Protection of Employment) (Amendment) Regulations 2014 SI 2014/16</w:t>
        </w:r>
      </w:hyperlink>
      <w:r w:rsidR="00DD1358">
        <w:t xml:space="preserve">. All references in brackets are </w:t>
      </w:r>
      <w:r w:rsidR="00D15E7E">
        <w:t xml:space="preserve">to </w:t>
      </w:r>
      <w:r w:rsidR="00DD1358">
        <w:t xml:space="preserve">the Regulations as amended. </w:t>
      </w:r>
    </w:p>
    <w:p w14:paraId="4A7386F5" w14:textId="77777777" w:rsidR="00356873" w:rsidRPr="00356873" w:rsidRDefault="00356873" w:rsidP="007D0C3A">
      <w:pPr>
        <w:rPr>
          <w:b/>
          <w:sz w:val="22"/>
          <w:szCs w:val="22"/>
          <w:u w:val="single"/>
        </w:rPr>
      </w:pPr>
    </w:p>
    <w:p w14:paraId="4D0D369A" w14:textId="77777777" w:rsidR="00356873" w:rsidRPr="00356873" w:rsidRDefault="00545A60" w:rsidP="007D0C3A">
      <w:pPr>
        <w:pStyle w:val="ListParagraph"/>
        <w:numPr>
          <w:ilvl w:val="0"/>
          <w:numId w:val="6"/>
        </w:numPr>
        <w:spacing w:after="0" w:line="240" w:lineRule="auto"/>
        <w:ind w:left="426"/>
        <w:rPr>
          <w:b/>
          <w:u w:val="single"/>
        </w:rPr>
      </w:pPr>
      <w:r>
        <w:t>Following a transfer under the Regulations</w:t>
      </w:r>
      <w:r w:rsidR="00DD1358">
        <w:t xml:space="preserve">, </w:t>
      </w:r>
      <w:r w:rsidR="00F14ABD">
        <w:t>a</w:t>
      </w:r>
      <w:r w:rsidR="00356873" w:rsidRPr="00356873">
        <w:t xml:space="preserve"> contract of emp</w:t>
      </w:r>
      <w:r w:rsidR="00F14ABD">
        <w:t>loyment of any person employed by</w:t>
      </w:r>
      <w:r w:rsidR="00F6116F">
        <w:t xml:space="preserve"> the school, is</w:t>
      </w:r>
      <w:r w:rsidR="00356873" w:rsidRPr="00356873">
        <w:t xml:space="preserve"> deemed to have been made between the pers</w:t>
      </w:r>
      <w:r w:rsidR="00F6116F">
        <w:t>on employed by the school and</w:t>
      </w:r>
      <w:r w:rsidR="00F14ABD">
        <w:t xml:space="preserve"> </w:t>
      </w:r>
      <w:r w:rsidR="00356873" w:rsidRPr="00356873">
        <w:t xml:space="preserve">the </w:t>
      </w:r>
      <w:r w:rsidR="00F6116F">
        <w:t xml:space="preserve">new </w:t>
      </w:r>
      <w:r w:rsidR="00356873" w:rsidRPr="00356873">
        <w:t>academy (Regulation 4(1)).  Accordingly, th</w:t>
      </w:r>
      <w:r w:rsidR="00F6116F">
        <w:t xml:space="preserve">e academy will take over </w:t>
      </w:r>
      <w:r w:rsidR="00356873" w:rsidRPr="00356873">
        <w:t>the school’s rights, powers, duties and liabilitie</w:t>
      </w:r>
      <w:r w:rsidR="00F14ABD">
        <w:t>s under the employment contract</w:t>
      </w:r>
      <w:r>
        <w:t>. S</w:t>
      </w:r>
      <w:r w:rsidR="00F14ABD">
        <w:t xml:space="preserve">o after the transfer </w:t>
      </w:r>
      <w:r w:rsidR="00F6116F">
        <w:t>any</w:t>
      </w:r>
      <w:r w:rsidR="00356873" w:rsidRPr="00356873">
        <w:t xml:space="preserve"> act committed by the school </w:t>
      </w:r>
      <w:r>
        <w:t xml:space="preserve">before the transfer, </w:t>
      </w:r>
      <w:r w:rsidR="00356873" w:rsidRPr="00356873">
        <w:t>is deemed to have been done by the academy.  Similarly, any breach of duty by the employee before a transfer is deemed to be a breach of duty to the academy (TUPE 2006 Regulation 4(2)).  Th</w:t>
      </w:r>
      <w:r w:rsidR="00F14ABD">
        <w:t xml:space="preserve">e purpose of </w:t>
      </w:r>
      <w:r>
        <w:t xml:space="preserve">the Regulations </w:t>
      </w:r>
      <w:r w:rsidR="00356873" w:rsidRPr="00356873">
        <w:t>is to preserve an employee’s rights rather than to create new rights.</w:t>
      </w:r>
    </w:p>
    <w:p w14:paraId="0EF4845F" w14:textId="77777777" w:rsidR="00356873" w:rsidRPr="00356873" w:rsidRDefault="00356873" w:rsidP="007D0C3A">
      <w:pPr>
        <w:pStyle w:val="ListParagraph"/>
        <w:spacing w:after="0" w:line="240" w:lineRule="auto"/>
        <w:ind w:left="360"/>
        <w:rPr>
          <w:b/>
          <w:u w:val="single"/>
        </w:rPr>
      </w:pPr>
    </w:p>
    <w:p w14:paraId="5586DC7E" w14:textId="77777777" w:rsidR="00356873" w:rsidRDefault="00A75FFF" w:rsidP="007D0C3A">
      <w:pPr>
        <w:pStyle w:val="ListParagraph"/>
        <w:numPr>
          <w:ilvl w:val="0"/>
          <w:numId w:val="6"/>
        </w:numPr>
        <w:spacing w:after="0" w:line="240" w:lineRule="auto"/>
        <w:ind w:left="426"/>
        <w:rPr>
          <w:bCs/>
        </w:rPr>
      </w:pPr>
      <w:r>
        <w:t>All aspects of an</w:t>
      </w:r>
      <w:r w:rsidR="00356873" w:rsidRPr="00356873">
        <w:t xml:space="preserve"> employee’s contract of</w:t>
      </w:r>
      <w:r>
        <w:t xml:space="preserve"> employment and associated rights</w:t>
      </w:r>
      <w:r w:rsidR="00356873" w:rsidRPr="00356873">
        <w:t xml:space="preserve"> are transferred </w:t>
      </w:r>
      <w:r w:rsidR="00356873" w:rsidRPr="00A75FFF">
        <w:rPr>
          <w:i/>
          <w:u w:val="single"/>
        </w:rPr>
        <w:t>except</w:t>
      </w:r>
      <w:r w:rsidR="00356873" w:rsidRPr="00356873">
        <w:t xml:space="preserve"> for any criminal liability (Regulation 4(6)); </w:t>
      </w:r>
      <w:r w:rsidR="00356873" w:rsidRPr="00A75FFF">
        <w:rPr>
          <w:i/>
        </w:rPr>
        <w:t>and</w:t>
      </w:r>
      <w:r w:rsidR="00356873" w:rsidRPr="00356873">
        <w:t xml:space="preserve"> rights concerning occupational pension schemes (Regulation 10).  However, </w:t>
      </w:r>
      <w:r>
        <w:t>as a</w:t>
      </w:r>
      <w:r w:rsidR="00356873" w:rsidRPr="00356873">
        <w:t xml:space="preserve">cademies are scheduled bodies under Schedule 2 of the </w:t>
      </w:r>
      <w:r w:rsidR="00356873" w:rsidRPr="00A75FFF">
        <w:rPr>
          <w:bCs/>
        </w:rPr>
        <w:t>Local Government Pension Scheme (‘LGPS’) (Administration) Regulations 2008</w:t>
      </w:r>
      <w:r>
        <w:rPr>
          <w:bCs/>
        </w:rPr>
        <w:t>, staff (transferred and new staff) employed in a</w:t>
      </w:r>
      <w:r w:rsidR="00356873" w:rsidRPr="00A75FFF">
        <w:rPr>
          <w:bCs/>
        </w:rPr>
        <w:t>cademies can</w:t>
      </w:r>
      <w:r>
        <w:rPr>
          <w:bCs/>
        </w:rPr>
        <w:t xml:space="preserve"> join the LGPS.</w:t>
      </w:r>
    </w:p>
    <w:p w14:paraId="31C5BF84" w14:textId="77777777" w:rsidR="00A75FFF" w:rsidRPr="00A75FFF" w:rsidRDefault="00A75FFF" w:rsidP="007D0C3A">
      <w:pPr>
        <w:rPr>
          <w:bCs/>
        </w:rPr>
      </w:pPr>
    </w:p>
    <w:p w14:paraId="0A50FA75" w14:textId="77777777" w:rsidR="00356873" w:rsidRPr="00356873" w:rsidRDefault="00356873" w:rsidP="007D0C3A">
      <w:pPr>
        <w:rPr>
          <w:b/>
          <w:sz w:val="22"/>
          <w:szCs w:val="22"/>
        </w:rPr>
      </w:pPr>
    </w:p>
    <w:p w14:paraId="5FA50343" w14:textId="77777777" w:rsidR="00356873" w:rsidRPr="00356873" w:rsidRDefault="00356873" w:rsidP="007D0C3A">
      <w:pPr>
        <w:rPr>
          <w:rFonts w:ascii="Arial" w:hAnsi="Arial" w:cs="Arial"/>
          <w:b/>
        </w:rPr>
      </w:pPr>
      <w:r w:rsidRPr="00356873">
        <w:rPr>
          <w:rFonts w:ascii="Arial" w:hAnsi="Arial" w:cs="Arial"/>
          <w:b/>
        </w:rPr>
        <w:t>Rights for transferred employees under</w:t>
      </w:r>
      <w:r w:rsidR="00F4673A">
        <w:rPr>
          <w:rFonts w:ascii="Arial" w:hAnsi="Arial" w:cs="Arial"/>
          <w:b/>
        </w:rPr>
        <w:t xml:space="preserve"> the</w:t>
      </w:r>
      <w:r w:rsidRPr="00356873">
        <w:rPr>
          <w:rFonts w:ascii="Arial" w:hAnsi="Arial" w:cs="Arial"/>
          <w:b/>
        </w:rPr>
        <w:t xml:space="preserve"> TUPE </w:t>
      </w:r>
      <w:r w:rsidR="00F4673A">
        <w:rPr>
          <w:rFonts w:ascii="Arial" w:hAnsi="Arial" w:cs="Arial"/>
          <w:b/>
        </w:rPr>
        <w:t>Regulations</w:t>
      </w:r>
    </w:p>
    <w:p w14:paraId="587B1A59" w14:textId="77777777" w:rsidR="00356873" w:rsidRPr="00356873" w:rsidRDefault="00356873" w:rsidP="007D0C3A">
      <w:pPr>
        <w:pStyle w:val="ListParagraph"/>
        <w:spacing w:line="240" w:lineRule="auto"/>
      </w:pPr>
    </w:p>
    <w:p w14:paraId="05AEAF96" w14:textId="77777777" w:rsidR="00356873" w:rsidRDefault="00356873" w:rsidP="007D0C3A">
      <w:pPr>
        <w:pStyle w:val="ListParagraph"/>
        <w:numPr>
          <w:ilvl w:val="0"/>
          <w:numId w:val="6"/>
        </w:numPr>
        <w:spacing w:after="0" w:line="240" w:lineRule="auto"/>
        <w:ind w:left="426"/>
      </w:pPr>
      <w:r w:rsidRPr="00356873">
        <w:t>Regulation 4(1) and (2) have the following effect:</w:t>
      </w:r>
    </w:p>
    <w:p w14:paraId="1992CC82" w14:textId="77777777" w:rsidR="00356873" w:rsidRPr="00356873" w:rsidRDefault="00356873" w:rsidP="007D0C3A">
      <w:pPr>
        <w:rPr>
          <w:sz w:val="22"/>
          <w:szCs w:val="22"/>
        </w:rPr>
      </w:pPr>
    </w:p>
    <w:p w14:paraId="2FBC67DA" w14:textId="77777777" w:rsidR="007D0C3A" w:rsidRPr="00356873" w:rsidRDefault="007D0C3A" w:rsidP="007D0C3A">
      <w:pPr>
        <w:pStyle w:val="ListParagraph"/>
        <w:numPr>
          <w:ilvl w:val="0"/>
          <w:numId w:val="7"/>
        </w:numPr>
        <w:spacing w:after="0" w:line="240" w:lineRule="auto"/>
        <w:ind w:left="709"/>
      </w:pPr>
      <w:r w:rsidRPr="00356873">
        <w:t>An employee is deemed to have con</w:t>
      </w:r>
      <w:r>
        <w:t>tinuous</w:t>
      </w:r>
      <w:r w:rsidRPr="00356873">
        <w:t xml:space="preserve"> statutory and contractual</w:t>
      </w:r>
      <w:r>
        <w:t xml:space="preserve"> employment rights. These </w:t>
      </w:r>
      <w:r w:rsidRPr="00356873">
        <w:t xml:space="preserve">include the right not to be unfairly dismissed, the right to redundancy or </w:t>
      </w:r>
      <w:r w:rsidRPr="00356873">
        <w:lastRenderedPageBreak/>
        <w:t xml:space="preserve">Statutory Maternity Payments and maternity </w:t>
      </w:r>
      <w:r w:rsidR="00DF417C">
        <w:t>leave and pay</w:t>
      </w:r>
      <w:r w:rsidRPr="00356873">
        <w:t xml:space="preserve">. </w:t>
      </w:r>
      <w:r w:rsidR="00DF417C">
        <w:t>C</w:t>
      </w:r>
      <w:r w:rsidRPr="00356873">
        <w:t xml:space="preserve">ollective agreements </w:t>
      </w:r>
      <w:r w:rsidR="00DF417C">
        <w:t>also transfer to the new employer</w:t>
      </w:r>
      <w:r w:rsidR="00C14AE4">
        <w:t xml:space="preserve"> </w:t>
      </w:r>
      <w:r w:rsidRPr="00356873">
        <w:t>(Regulation 5).</w:t>
      </w:r>
    </w:p>
    <w:p w14:paraId="69E8DAC1" w14:textId="77777777" w:rsidR="007D0C3A" w:rsidRDefault="007D0C3A" w:rsidP="007D0C3A">
      <w:pPr>
        <w:pStyle w:val="ListParagraph"/>
        <w:spacing w:after="0" w:line="240" w:lineRule="auto"/>
        <w:ind w:left="709"/>
      </w:pPr>
    </w:p>
    <w:p w14:paraId="251CFFAC" w14:textId="77777777" w:rsidR="00356873" w:rsidRPr="00356873" w:rsidRDefault="00356873" w:rsidP="007D0C3A">
      <w:pPr>
        <w:pStyle w:val="ListParagraph"/>
        <w:numPr>
          <w:ilvl w:val="0"/>
          <w:numId w:val="7"/>
        </w:numPr>
        <w:spacing w:after="0" w:line="240" w:lineRule="auto"/>
        <w:ind w:left="709"/>
      </w:pPr>
      <w:r w:rsidRPr="00356873">
        <w:t>If the school fails to pay the employee’s wages, the employee can sue the acad</w:t>
      </w:r>
      <w:r w:rsidR="007D0C3A">
        <w:t>emy to recover the underpayment.</w:t>
      </w:r>
    </w:p>
    <w:p w14:paraId="64892FFD" w14:textId="77777777" w:rsidR="00356873" w:rsidRDefault="00356873" w:rsidP="007D0C3A">
      <w:pPr>
        <w:rPr>
          <w:sz w:val="22"/>
          <w:szCs w:val="22"/>
        </w:rPr>
      </w:pPr>
    </w:p>
    <w:p w14:paraId="7E02FA30" w14:textId="77777777" w:rsidR="00F4673A" w:rsidRDefault="00F4673A" w:rsidP="007D0C3A">
      <w:pPr>
        <w:rPr>
          <w:rFonts w:ascii="Arial" w:hAnsi="Arial" w:cs="Arial"/>
          <w:i/>
          <w:sz w:val="22"/>
          <w:szCs w:val="22"/>
        </w:rPr>
      </w:pPr>
    </w:p>
    <w:p w14:paraId="5344F840" w14:textId="77777777" w:rsidR="00F4673A" w:rsidRPr="00870A3D" w:rsidRDefault="00353D6E" w:rsidP="007D0C3A">
      <w:pPr>
        <w:rPr>
          <w:rFonts w:ascii="Arial" w:hAnsi="Arial" w:cs="Arial"/>
          <w:b/>
          <w:i/>
          <w:sz w:val="22"/>
          <w:szCs w:val="22"/>
        </w:rPr>
      </w:pPr>
      <w:r w:rsidRPr="00870A3D">
        <w:rPr>
          <w:rFonts w:ascii="Arial" w:hAnsi="Arial" w:cs="Arial"/>
          <w:b/>
          <w:i/>
          <w:sz w:val="22"/>
          <w:szCs w:val="22"/>
        </w:rPr>
        <w:t>Dismissal</w:t>
      </w:r>
    </w:p>
    <w:p w14:paraId="17F48FFC" w14:textId="77777777" w:rsidR="001D3A06" w:rsidRPr="002D2695" w:rsidRDefault="001D3A06" w:rsidP="007D0C3A">
      <w:pPr>
        <w:rPr>
          <w:rFonts w:ascii="Arial" w:hAnsi="Arial" w:cs="Arial"/>
          <w:i/>
          <w:sz w:val="16"/>
          <w:szCs w:val="16"/>
        </w:rPr>
      </w:pPr>
    </w:p>
    <w:p w14:paraId="1C447D22" w14:textId="77777777" w:rsidR="00F11E3A" w:rsidRDefault="001D3A06">
      <w:pPr>
        <w:pStyle w:val="ListParagraph"/>
        <w:numPr>
          <w:ilvl w:val="0"/>
          <w:numId w:val="6"/>
        </w:numPr>
        <w:spacing w:after="0" w:line="240" w:lineRule="auto"/>
        <w:ind w:left="426" w:hanging="426"/>
      </w:pPr>
      <w:r w:rsidRPr="00356873">
        <w:t xml:space="preserve">If the school </w:t>
      </w:r>
      <w:r w:rsidR="002D2695">
        <w:t xml:space="preserve">has </w:t>
      </w:r>
      <w:r w:rsidRPr="00356873">
        <w:t xml:space="preserve">dismissed an employee before </w:t>
      </w:r>
      <w:r>
        <w:t xml:space="preserve">the transfer or the academy dismissed the employee after </w:t>
      </w:r>
      <w:r w:rsidRPr="00356873">
        <w:t>a transfer</w:t>
      </w:r>
      <w:r>
        <w:t>, and the sole o</w:t>
      </w:r>
      <w:r w:rsidR="00870A3D">
        <w:t>r</w:t>
      </w:r>
      <w:r>
        <w:t xml:space="preserve"> principle reason for the </w:t>
      </w:r>
      <w:r w:rsidR="00353D6E" w:rsidRPr="00353D6E">
        <w:rPr>
          <w:i/>
        </w:rPr>
        <w:t>dismissal is the transfer</w:t>
      </w:r>
      <w:r w:rsidR="0053176A">
        <w:t>, then</w:t>
      </w:r>
      <w:r>
        <w:t xml:space="preserve"> the school or academy will be liable for a claim of automatic unfair dismissal under the Employment Rights Act 1996 (Regulation 7(1)). The employee will have to have completed 2 years of service prior to dismissal to make a claim of unfair dismissal and any claim must be brought within 3 months less one day of the dismissal</w:t>
      </w:r>
      <w:r w:rsidR="0063276D">
        <w:t>.</w:t>
      </w:r>
      <w:r w:rsidR="003553EB">
        <w:t xml:space="preserve"> However, if the dismissal is linked to exercising a statutory right, or due to discrimination, then there is no requirement to have completed 2 years’ service. Always seek legal advice from the Region in relation to dismissals and time limits.</w:t>
      </w:r>
    </w:p>
    <w:p w14:paraId="0A8138E1" w14:textId="77777777" w:rsidR="00F11E3A" w:rsidRDefault="00F11E3A">
      <w:pPr>
        <w:pStyle w:val="ListParagraph"/>
        <w:spacing w:after="0" w:line="240" w:lineRule="auto"/>
        <w:ind w:left="426"/>
      </w:pPr>
    </w:p>
    <w:p w14:paraId="1A6FB3B5" w14:textId="77777777" w:rsidR="00330229" w:rsidRDefault="00B8213C" w:rsidP="00C14AE4">
      <w:pPr>
        <w:pStyle w:val="ListParagraph"/>
        <w:spacing w:line="240" w:lineRule="auto"/>
        <w:ind w:left="426"/>
      </w:pPr>
      <w:r>
        <w:t>T</w:t>
      </w:r>
      <w:r w:rsidR="00726C89" w:rsidRPr="00356873">
        <w:t xml:space="preserve">he school </w:t>
      </w:r>
      <w:r w:rsidR="00A01B7F">
        <w:t xml:space="preserve">can fairly </w:t>
      </w:r>
      <w:r w:rsidR="00726C89" w:rsidRPr="00356873">
        <w:t xml:space="preserve">dismiss an employee before </w:t>
      </w:r>
      <w:r w:rsidR="00726C89">
        <w:t xml:space="preserve">the transfer or the academy </w:t>
      </w:r>
      <w:r>
        <w:t xml:space="preserve">can </w:t>
      </w:r>
      <w:r w:rsidR="00726C89">
        <w:t>dismisse</w:t>
      </w:r>
      <w:r>
        <w:t>s</w:t>
      </w:r>
      <w:r w:rsidR="00726C89">
        <w:t xml:space="preserve"> the employee after </w:t>
      </w:r>
      <w:r w:rsidR="00726C89" w:rsidRPr="00356873">
        <w:t>a transfer</w:t>
      </w:r>
      <w:r w:rsidR="00726C89">
        <w:t xml:space="preserve">, </w:t>
      </w:r>
      <w:r>
        <w:t xml:space="preserve">if </w:t>
      </w:r>
      <w:r w:rsidR="00726C89">
        <w:t xml:space="preserve">the sole of principle reason for the dismissal is </w:t>
      </w:r>
      <w:r w:rsidR="00726C89" w:rsidRPr="00356873">
        <w:t xml:space="preserve">an economic, technical or organisational </w:t>
      </w:r>
      <w:r w:rsidR="00726C89">
        <w:t xml:space="preserve">(ETO) </w:t>
      </w:r>
      <w:r w:rsidR="00726C89" w:rsidRPr="00356873">
        <w:t xml:space="preserve">reason </w:t>
      </w:r>
      <w:r w:rsidR="00726C89">
        <w:t xml:space="preserve">entailing </w:t>
      </w:r>
      <w:r w:rsidR="00726C89" w:rsidRPr="00356873">
        <w:t xml:space="preserve">changes in the </w:t>
      </w:r>
      <w:r w:rsidRPr="00356873">
        <w:t>work</w:t>
      </w:r>
      <w:r>
        <w:t xml:space="preserve">force. </w:t>
      </w:r>
      <w:r w:rsidR="00535725">
        <w:t xml:space="preserve">So for an example, if the dismissal </w:t>
      </w:r>
      <w:r w:rsidR="000F553E">
        <w:t>is because they have changed the way something is organised, and they also change the job functions</w:t>
      </w:r>
      <w:r w:rsidR="00535725">
        <w:t xml:space="preserve"> the employer is likely to have a defence</w:t>
      </w:r>
      <w:r w:rsidR="000F553E">
        <w:t xml:space="preserve"> (see paragraph 8 below)</w:t>
      </w:r>
      <w:r w:rsidR="00535725">
        <w:t xml:space="preserve">. </w:t>
      </w:r>
      <w:r>
        <w:t>However an employer must still act reasonably and follow procedure to ensure that the dismissal is fair.</w:t>
      </w:r>
      <w:r w:rsidR="00535725">
        <w:t xml:space="preserve"> </w:t>
      </w:r>
    </w:p>
    <w:p w14:paraId="4A4DE16C" w14:textId="77777777" w:rsidR="00C14AE4" w:rsidRDefault="00C14AE4" w:rsidP="00330229">
      <w:pPr>
        <w:pStyle w:val="ListParagraph"/>
      </w:pPr>
    </w:p>
    <w:p w14:paraId="28CDCEB1" w14:textId="77777777" w:rsidR="00F11E3A" w:rsidRDefault="00B8213C">
      <w:pPr>
        <w:pStyle w:val="ListParagraph"/>
        <w:numPr>
          <w:ilvl w:val="0"/>
          <w:numId w:val="6"/>
        </w:numPr>
        <w:spacing w:after="0" w:line="240" w:lineRule="auto"/>
        <w:ind w:left="426" w:hanging="426"/>
      </w:pPr>
      <w:r>
        <w:t xml:space="preserve">If no such ETO reason exists, or even if it does, but it does not entail a change in the workforce (e.g. </w:t>
      </w:r>
      <w:r w:rsidR="00535725">
        <w:t xml:space="preserve"> there are no </w:t>
      </w:r>
      <w:r>
        <w:t>redundancies, or changes in the job functions)</w:t>
      </w:r>
      <w:r w:rsidR="00726C89" w:rsidRPr="00356873">
        <w:t xml:space="preserve">, </w:t>
      </w:r>
      <w:r w:rsidR="00726C89">
        <w:t>then</w:t>
      </w:r>
      <w:r w:rsidR="0063276D">
        <w:t xml:space="preserve"> the</w:t>
      </w:r>
      <w:r w:rsidR="00726C89">
        <w:t xml:space="preserve"> school or academy will be liable for a claim of unfair dismissal under the Employment Rights Act 1996 (Regulation 7(2)). The employee will have to have completed 2 years of service prior to dismissal to make a claim of unfair dismissal and any claim must be brought within 3 months less one day of the dismissal.</w:t>
      </w:r>
    </w:p>
    <w:p w14:paraId="7A7F29B3" w14:textId="77777777" w:rsidR="00F11E3A" w:rsidRDefault="00F11E3A">
      <w:pPr>
        <w:pStyle w:val="ListParagraph"/>
      </w:pPr>
    </w:p>
    <w:p w14:paraId="7B6FAA37" w14:textId="77777777" w:rsidR="00F11E3A" w:rsidRDefault="009C0E82">
      <w:pPr>
        <w:pStyle w:val="ListParagraph"/>
        <w:numPr>
          <w:ilvl w:val="0"/>
          <w:numId w:val="6"/>
        </w:numPr>
        <w:spacing w:after="0" w:line="240" w:lineRule="auto"/>
        <w:ind w:left="426" w:hanging="426"/>
      </w:pPr>
      <w:r>
        <w:t xml:space="preserve">If the academy wishes to change its location following a transfer, and there is an ETO reason for that change of location, and the employee does not want to move, the employee will be entitled to </w:t>
      </w:r>
      <w:r w:rsidR="00280010">
        <w:t xml:space="preserve">a </w:t>
      </w:r>
      <w:r>
        <w:t>redundancy</w:t>
      </w:r>
      <w:r w:rsidR="00280010">
        <w:t xml:space="preserve"> payment</w:t>
      </w:r>
      <w:r>
        <w:t>. The employee will not be entitled to make a claim for unfair dismissal, unless they were unfairly selected for redundancy, or the method of dismissal was unfair.</w:t>
      </w:r>
    </w:p>
    <w:p w14:paraId="05E1F94B" w14:textId="77777777" w:rsidR="00F11E3A" w:rsidRDefault="00F11E3A">
      <w:pPr>
        <w:pStyle w:val="ListParagraph"/>
      </w:pPr>
    </w:p>
    <w:p w14:paraId="492568B8" w14:textId="77777777" w:rsidR="00F11E3A" w:rsidRDefault="00726C89">
      <w:pPr>
        <w:pStyle w:val="ListParagraph"/>
        <w:numPr>
          <w:ilvl w:val="0"/>
          <w:numId w:val="6"/>
        </w:numPr>
        <w:spacing w:after="0" w:line="240" w:lineRule="auto"/>
        <w:ind w:left="426" w:hanging="426"/>
      </w:pPr>
      <w:r w:rsidRPr="00356873">
        <w:t>If the school has discriminated against an employee prio</w:t>
      </w:r>
      <w:r>
        <w:t>r to the transfer, and the employee’s employment transfers to the academy, the academy will be liable in any proceedings brought by the employee within 3 months less one day of the act of discrimination.</w:t>
      </w:r>
    </w:p>
    <w:p w14:paraId="3B2F36B5" w14:textId="77777777" w:rsidR="00F11E3A" w:rsidRDefault="00F11E3A">
      <w:pPr>
        <w:pStyle w:val="ListParagraph"/>
        <w:ind w:hanging="426"/>
      </w:pPr>
    </w:p>
    <w:p w14:paraId="1D528BC2" w14:textId="77777777" w:rsidR="00F11E3A" w:rsidRDefault="00726C89">
      <w:pPr>
        <w:pStyle w:val="ListParagraph"/>
        <w:numPr>
          <w:ilvl w:val="0"/>
          <w:numId w:val="6"/>
        </w:numPr>
        <w:spacing w:after="0" w:line="240" w:lineRule="auto"/>
        <w:ind w:left="426" w:hanging="426"/>
      </w:pPr>
      <w:r w:rsidRPr="00356873">
        <w:t xml:space="preserve">If, </w:t>
      </w:r>
      <w:r>
        <w:t xml:space="preserve">an employee is </w:t>
      </w:r>
      <w:r w:rsidRPr="00356873">
        <w:t>dismiss</w:t>
      </w:r>
      <w:r>
        <w:t>ed</w:t>
      </w:r>
      <w:r w:rsidRPr="00356873">
        <w:t xml:space="preserve"> for a justifiable reason such as gross misconduct, </w:t>
      </w:r>
      <w:r>
        <w:t xml:space="preserve">then </w:t>
      </w:r>
      <w:r w:rsidRPr="00356873">
        <w:t xml:space="preserve">it will not </w:t>
      </w:r>
      <w:r>
        <w:t xml:space="preserve">amount to </w:t>
      </w:r>
      <w:r w:rsidRPr="00356873">
        <w:t>unfair</w:t>
      </w:r>
      <w:r>
        <w:t xml:space="preserve"> dismissal</w:t>
      </w:r>
      <w:r w:rsidRPr="00356873">
        <w:t>.</w:t>
      </w:r>
    </w:p>
    <w:p w14:paraId="02C84854" w14:textId="77777777" w:rsidR="001D3A06" w:rsidRDefault="001D3A06" w:rsidP="007D0C3A">
      <w:pPr>
        <w:rPr>
          <w:rFonts w:ascii="Arial" w:hAnsi="Arial" w:cs="Arial"/>
          <w:i/>
          <w:sz w:val="22"/>
          <w:szCs w:val="22"/>
        </w:rPr>
      </w:pPr>
    </w:p>
    <w:p w14:paraId="588B707E" w14:textId="77777777" w:rsidR="00C96C16" w:rsidRDefault="00C96C16" w:rsidP="00726C89">
      <w:pPr>
        <w:pStyle w:val="ListParagraph"/>
        <w:numPr>
          <w:ilvl w:val="0"/>
          <w:numId w:val="6"/>
        </w:numPr>
        <w:spacing w:after="0" w:line="240" w:lineRule="auto"/>
        <w:ind w:left="426" w:hanging="426"/>
      </w:pPr>
      <w:r>
        <w:t>Where a</w:t>
      </w:r>
      <w:r w:rsidR="00356873" w:rsidRPr="00356873">
        <w:t xml:space="preserve">n </w:t>
      </w:r>
      <w:r w:rsidR="007D0C3A">
        <w:t>employee inform</w:t>
      </w:r>
      <w:r>
        <w:t>s</w:t>
      </w:r>
      <w:r w:rsidR="007D0C3A">
        <w:t xml:space="preserve"> </w:t>
      </w:r>
      <w:r w:rsidR="00356873" w:rsidRPr="00356873">
        <w:t>the school prior to the transfer that s/he objects to the transfer</w:t>
      </w:r>
      <w:r w:rsidR="000F553E">
        <w:t xml:space="preserve"> and being employed by the transferee</w:t>
      </w:r>
      <w:r>
        <w:t xml:space="preserve">, </w:t>
      </w:r>
      <w:r w:rsidR="00356873" w:rsidRPr="00356873">
        <w:t>th</w:t>
      </w:r>
      <w:r w:rsidR="00544F1B">
        <w:t xml:space="preserve">eir employment will </w:t>
      </w:r>
      <w:r>
        <w:t xml:space="preserve">terminate </w:t>
      </w:r>
      <w:r w:rsidR="00356873" w:rsidRPr="00356873">
        <w:t xml:space="preserve">on the </w:t>
      </w:r>
      <w:r>
        <w:t xml:space="preserve">date of the </w:t>
      </w:r>
      <w:r w:rsidR="00356873" w:rsidRPr="00356873">
        <w:t xml:space="preserve">transfer </w:t>
      </w:r>
      <w:r>
        <w:t xml:space="preserve">and the employee will not be eligible for a redundancy payment. This will not be regarded as a dismissal </w:t>
      </w:r>
      <w:r w:rsidR="00356873" w:rsidRPr="00356873">
        <w:t>(Regulation 4(7) and (8)</w:t>
      </w:r>
      <w:r>
        <w:t>)</w:t>
      </w:r>
      <w:r w:rsidR="00356873" w:rsidRPr="00356873">
        <w:t xml:space="preserve">.  </w:t>
      </w:r>
      <w:r w:rsidR="000F553E">
        <w:t>The objection must be to being employed by the new employer and not to some other aspect of the job with the new employer. Where it is the latter, then the person will still transfer over.</w:t>
      </w:r>
    </w:p>
    <w:p w14:paraId="78677188" w14:textId="77777777" w:rsidR="00F11E3A" w:rsidRDefault="00F11E3A">
      <w:pPr>
        <w:pStyle w:val="ListParagraph"/>
        <w:ind w:left="426" w:hanging="426"/>
      </w:pPr>
    </w:p>
    <w:p w14:paraId="337B647F" w14:textId="77777777" w:rsidR="00356873" w:rsidRDefault="00C96C16" w:rsidP="00726C89">
      <w:pPr>
        <w:pStyle w:val="ListParagraph"/>
        <w:numPr>
          <w:ilvl w:val="0"/>
          <w:numId w:val="6"/>
        </w:numPr>
        <w:spacing w:after="0" w:line="240" w:lineRule="auto"/>
        <w:ind w:left="426" w:hanging="426"/>
      </w:pPr>
      <w:r>
        <w:lastRenderedPageBreak/>
        <w:t xml:space="preserve">If </w:t>
      </w:r>
      <w:r w:rsidR="00544F1B">
        <w:t>the transfer involve</w:t>
      </w:r>
      <w:r>
        <w:t>s a</w:t>
      </w:r>
      <w:r w:rsidR="00356873" w:rsidRPr="00356873">
        <w:t xml:space="preserve"> substantial and detrimental change to the employee’s working conditio</w:t>
      </w:r>
      <w:r w:rsidR="00544F1B">
        <w:t xml:space="preserve">ns </w:t>
      </w:r>
      <w:r>
        <w:t>to</w:t>
      </w:r>
      <w:r w:rsidRPr="00726C89">
        <w:t xml:space="preserve"> </w:t>
      </w:r>
      <w:r>
        <w:t xml:space="preserve">the material detriment of the employee </w:t>
      </w:r>
      <w:r w:rsidR="00544F1B">
        <w:t>(Regulation 4(9))</w:t>
      </w:r>
      <w:r>
        <w:t>, the employee could treat their employment as having been terminated, and make a claim for constructive unfair dismissal</w:t>
      </w:r>
      <w:r w:rsidR="00544F1B">
        <w:t>.</w:t>
      </w:r>
      <w:r w:rsidR="00356873" w:rsidRPr="00356873">
        <w:t xml:space="preserve"> </w:t>
      </w:r>
      <w:r>
        <w:t>These are difficult cases to bring and the</w:t>
      </w:r>
      <w:r w:rsidR="00356873" w:rsidRPr="00356873">
        <w:t xml:space="preserve"> employee </w:t>
      </w:r>
      <w:r>
        <w:t xml:space="preserve">will need </w:t>
      </w:r>
      <w:r w:rsidR="00356873" w:rsidRPr="00356873">
        <w:t xml:space="preserve">to prove </w:t>
      </w:r>
      <w:r>
        <w:t>it</w:t>
      </w:r>
      <w:r w:rsidR="00356873" w:rsidRPr="00356873">
        <w:t xml:space="preserve">. </w:t>
      </w:r>
      <w:r>
        <w:t xml:space="preserve">Where an employer is acting in breach of contract, then the employee may terminate their contract without notice </w:t>
      </w:r>
      <w:r w:rsidR="00356873" w:rsidRPr="00356873">
        <w:t>(Regulation 4(11)).</w:t>
      </w:r>
    </w:p>
    <w:p w14:paraId="1FCB19CE" w14:textId="77777777" w:rsidR="00F11E3A" w:rsidRDefault="00F11E3A">
      <w:pPr>
        <w:pStyle w:val="ListParagraph"/>
        <w:spacing w:after="0" w:line="240" w:lineRule="auto"/>
        <w:ind w:left="426" w:hanging="426"/>
      </w:pPr>
    </w:p>
    <w:p w14:paraId="4DA9BA1E" w14:textId="77777777" w:rsidR="00F11E3A" w:rsidRPr="00870A3D" w:rsidRDefault="00F4673A">
      <w:pPr>
        <w:pStyle w:val="ListParagraph"/>
        <w:spacing w:after="0" w:line="240" w:lineRule="auto"/>
        <w:ind w:left="426" w:hanging="426"/>
        <w:rPr>
          <w:b/>
          <w:i/>
        </w:rPr>
      </w:pPr>
      <w:r w:rsidRPr="00870A3D">
        <w:rPr>
          <w:b/>
          <w:i/>
        </w:rPr>
        <w:t>Variation of Contract</w:t>
      </w:r>
    </w:p>
    <w:p w14:paraId="0355F947" w14:textId="77777777" w:rsidR="00356873" w:rsidRPr="002D2695" w:rsidRDefault="00356873" w:rsidP="00726C89">
      <w:pPr>
        <w:pStyle w:val="ListParagraph"/>
        <w:spacing w:line="240" w:lineRule="auto"/>
        <w:ind w:left="426" w:hanging="426"/>
        <w:rPr>
          <w:sz w:val="16"/>
          <w:szCs w:val="16"/>
        </w:rPr>
      </w:pPr>
    </w:p>
    <w:p w14:paraId="1448CD3F" w14:textId="77777777" w:rsidR="00B8213C" w:rsidRPr="00B8213C" w:rsidRDefault="00F4673A" w:rsidP="00726C89">
      <w:pPr>
        <w:pStyle w:val="ListParagraph"/>
        <w:numPr>
          <w:ilvl w:val="0"/>
          <w:numId w:val="6"/>
        </w:numPr>
        <w:spacing w:after="0" w:line="240" w:lineRule="auto"/>
        <w:ind w:left="426" w:hanging="426"/>
      </w:pPr>
      <w:r>
        <w:t xml:space="preserve">Following a transfer the Regulations </w:t>
      </w:r>
      <w:r w:rsidR="00356873" w:rsidRPr="00356873">
        <w:t xml:space="preserve">protect employees </w:t>
      </w:r>
      <w:r>
        <w:t>from variations to contract post transfer.</w:t>
      </w:r>
      <w:r w:rsidR="009C0E82">
        <w:t xml:space="preserve"> </w:t>
      </w:r>
      <w:r w:rsidR="00B8213C">
        <w:rPr>
          <w:rFonts w:eastAsia="Times New Roman"/>
          <w:lang w:eastAsia="en-GB"/>
        </w:rPr>
        <w:t>T</w:t>
      </w:r>
      <w:r w:rsidR="00330229" w:rsidRPr="00330229">
        <w:rPr>
          <w:rFonts w:eastAsia="Times New Roman"/>
          <w:lang w:eastAsia="en-GB"/>
        </w:rPr>
        <w:t xml:space="preserve">he new employer can vary terms and conditions </w:t>
      </w:r>
      <w:r w:rsidR="00330229" w:rsidRPr="00330229">
        <w:rPr>
          <w:rFonts w:eastAsia="Times New Roman"/>
          <w:b/>
          <w:lang w:eastAsia="en-GB"/>
        </w:rPr>
        <w:t>if</w:t>
      </w:r>
      <w:r w:rsidR="00330229" w:rsidRPr="00330229">
        <w:rPr>
          <w:rFonts w:eastAsia="Times New Roman"/>
          <w:lang w:eastAsia="en-GB"/>
        </w:rPr>
        <w:t xml:space="preserve"> the changes have nothing to do with the transfer</w:t>
      </w:r>
      <w:r w:rsidR="00B8213C">
        <w:rPr>
          <w:rFonts w:eastAsia="Times New Roman"/>
          <w:lang w:eastAsia="en-GB"/>
        </w:rPr>
        <w:t>.</w:t>
      </w:r>
    </w:p>
    <w:p w14:paraId="47F6A30F" w14:textId="77777777" w:rsidR="00330229" w:rsidRDefault="00330229" w:rsidP="00330229">
      <w:pPr>
        <w:pStyle w:val="ListParagraph"/>
        <w:spacing w:after="0" w:line="240" w:lineRule="auto"/>
        <w:ind w:left="426"/>
      </w:pPr>
    </w:p>
    <w:p w14:paraId="5BDA40A0" w14:textId="77777777" w:rsidR="00F4673A" w:rsidRDefault="009C0E82" w:rsidP="00726C89">
      <w:pPr>
        <w:pStyle w:val="ListParagraph"/>
        <w:numPr>
          <w:ilvl w:val="0"/>
          <w:numId w:val="6"/>
        </w:numPr>
        <w:spacing w:after="0" w:line="240" w:lineRule="auto"/>
        <w:ind w:left="426" w:hanging="426"/>
      </w:pPr>
      <w:r>
        <w:t xml:space="preserve">Where </w:t>
      </w:r>
      <w:r w:rsidR="00776B4E">
        <w:t xml:space="preserve">the </w:t>
      </w:r>
      <w:r>
        <w:t>sole</w:t>
      </w:r>
      <w:r w:rsidR="0093049C">
        <w:t xml:space="preserve"> or principal</w:t>
      </w:r>
      <w:r>
        <w:t xml:space="preserve"> reason for a variation </w:t>
      </w:r>
      <w:r w:rsidR="00330229" w:rsidRPr="00330229">
        <w:rPr>
          <w:b/>
        </w:rPr>
        <w:t>is</w:t>
      </w:r>
      <w:r>
        <w:t xml:space="preserve"> the transfer, then such a variation is not permissible. The academy is likely to be acting in breach of contract. </w:t>
      </w:r>
      <w:r w:rsidR="00FE494A">
        <w:t>Also</w:t>
      </w:r>
      <w:r>
        <w:t xml:space="preserve">, harmonisation of terms and conditions with the </w:t>
      </w:r>
      <w:r w:rsidR="00416931">
        <w:t xml:space="preserve">new employer’s </w:t>
      </w:r>
      <w:r w:rsidR="00AB6B75">
        <w:t xml:space="preserve">current </w:t>
      </w:r>
      <w:r>
        <w:t>terms and conditions is not allowed.</w:t>
      </w:r>
      <w:r w:rsidR="00FE494A">
        <w:t xml:space="preserve"> </w:t>
      </w:r>
      <w:r w:rsidR="00AB6B75">
        <w:t xml:space="preserve">However, it is permissible for the new employer to seek to agree a brand new set of terms and conditions for all staff, wherever they have </w:t>
      </w:r>
      <w:r w:rsidR="00416931">
        <w:t xml:space="preserve">all </w:t>
      </w:r>
      <w:r w:rsidR="00AB6B75">
        <w:t>transferred from, as this is unlikely to be related</w:t>
      </w:r>
      <w:r w:rsidR="00416931">
        <w:t xml:space="preserve"> to any one particular transfer</w:t>
      </w:r>
      <w:r w:rsidR="00AB6B75">
        <w:t>. This must be negotiated with the recognised trade unions.</w:t>
      </w:r>
      <w:r w:rsidR="000F553E">
        <w:t xml:space="preserve"> If the new terms and conditions look suspiciously like the new company’s terms and conditions then this is likely to be harmonisation and so unlawful.</w:t>
      </w:r>
    </w:p>
    <w:p w14:paraId="5EEE3395" w14:textId="77777777" w:rsidR="00F11E3A" w:rsidRDefault="00F11E3A">
      <w:pPr>
        <w:pStyle w:val="ListParagraph"/>
        <w:spacing w:after="0" w:line="240" w:lineRule="auto"/>
        <w:ind w:left="426"/>
      </w:pPr>
    </w:p>
    <w:p w14:paraId="733DC5D3" w14:textId="77777777" w:rsidR="009C0E82" w:rsidRDefault="00776B4E" w:rsidP="00726C89">
      <w:pPr>
        <w:pStyle w:val="ListParagraph"/>
        <w:numPr>
          <w:ilvl w:val="0"/>
          <w:numId w:val="6"/>
        </w:numPr>
        <w:spacing w:after="0" w:line="240" w:lineRule="auto"/>
        <w:ind w:left="426" w:hanging="426"/>
      </w:pPr>
      <w:r>
        <w:t>The new employer is permitted to vary terms and conditions i</w:t>
      </w:r>
      <w:r w:rsidR="009C0E82">
        <w:t xml:space="preserve">f the sole or principle reason for the variation of terms and conditions </w:t>
      </w:r>
      <w:r w:rsidR="00FE494A">
        <w:t xml:space="preserve">is </w:t>
      </w:r>
      <w:r w:rsidR="009C0E82" w:rsidRPr="00356873">
        <w:t xml:space="preserve">an economic, technical or organisational </w:t>
      </w:r>
      <w:r w:rsidR="009C0E82">
        <w:t xml:space="preserve">(ETO) </w:t>
      </w:r>
      <w:r w:rsidR="009C0E82" w:rsidRPr="00356873">
        <w:t xml:space="preserve">reason </w:t>
      </w:r>
      <w:r w:rsidR="009C0E82">
        <w:t xml:space="preserve">entailing </w:t>
      </w:r>
      <w:r w:rsidR="009C0E82" w:rsidRPr="00356873">
        <w:t>changes in the workplace</w:t>
      </w:r>
      <w:r w:rsidR="003D0A50">
        <w:t xml:space="preserve"> (e.g. redundancies or changes in job functions). If there is no ETO reason, or even if there is one, but it does not entail a change in the workforce, then </w:t>
      </w:r>
      <w:r w:rsidR="00FE494A">
        <w:t xml:space="preserve">the </w:t>
      </w:r>
      <w:r w:rsidR="009C0E82">
        <w:t xml:space="preserve">academy </w:t>
      </w:r>
      <w:r w:rsidR="00FE494A">
        <w:t xml:space="preserve">may </w:t>
      </w:r>
      <w:r w:rsidR="009C0E82">
        <w:t>be liable for a claim</w:t>
      </w:r>
      <w:r w:rsidR="00FE494A">
        <w:t xml:space="preserve"> of breach of contract</w:t>
      </w:r>
      <w:r w:rsidR="009C0E82">
        <w:t>.</w:t>
      </w:r>
      <w:r w:rsidR="00455F56">
        <w:t xml:space="preserve">  The important point is to immediately seek advice from your region if the new employer is proposing any changes to terms and conditions.</w:t>
      </w:r>
    </w:p>
    <w:p w14:paraId="23DB22AB" w14:textId="77777777" w:rsidR="00330229" w:rsidRDefault="00330229" w:rsidP="00330229">
      <w:pPr>
        <w:pStyle w:val="ListParagraph"/>
      </w:pPr>
    </w:p>
    <w:p w14:paraId="28CDCD12" w14:textId="77777777" w:rsidR="008D2854" w:rsidRDefault="00FE494A" w:rsidP="00726C89">
      <w:pPr>
        <w:pStyle w:val="ListParagraph"/>
        <w:numPr>
          <w:ilvl w:val="0"/>
          <w:numId w:val="6"/>
        </w:numPr>
        <w:spacing w:after="0" w:line="240" w:lineRule="auto"/>
        <w:ind w:left="426" w:hanging="426"/>
      </w:pPr>
      <w:r>
        <w:rPr>
          <w:lang w:eastAsia="en-GB"/>
        </w:rPr>
        <w:t>However, R</w:t>
      </w:r>
      <w:r w:rsidR="008D2854" w:rsidRPr="001142D0">
        <w:rPr>
          <w:lang w:eastAsia="en-GB"/>
        </w:rPr>
        <w:t xml:space="preserve">egulation 4A provides that transferred contracts </w:t>
      </w:r>
      <w:r w:rsidR="00935792">
        <w:rPr>
          <w:lang w:eastAsia="en-GB"/>
        </w:rPr>
        <w:t xml:space="preserve">will </w:t>
      </w:r>
      <w:r w:rsidR="008D2854" w:rsidRPr="001142D0">
        <w:rPr>
          <w:lang w:eastAsia="en-GB"/>
        </w:rPr>
        <w:t xml:space="preserve">not bind the </w:t>
      </w:r>
      <w:r w:rsidR="008D2854">
        <w:rPr>
          <w:lang w:eastAsia="en-GB"/>
        </w:rPr>
        <w:t>academy</w:t>
      </w:r>
      <w:r w:rsidR="008D2854" w:rsidRPr="001142D0">
        <w:rPr>
          <w:lang w:eastAsia="en-GB"/>
        </w:rPr>
        <w:t xml:space="preserve"> to any term of a </w:t>
      </w:r>
      <w:r w:rsidR="00353D6E" w:rsidRPr="00353D6E">
        <w:rPr>
          <w:u w:val="single"/>
          <w:lang w:eastAsia="en-GB"/>
        </w:rPr>
        <w:t>collective agreement</w:t>
      </w:r>
      <w:r w:rsidR="008D2854" w:rsidRPr="001142D0">
        <w:rPr>
          <w:lang w:eastAsia="en-GB"/>
        </w:rPr>
        <w:t xml:space="preserve"> agreed </w:t>
      </w:r>
      <w:r w:rsidR="008D2854" w:rsidRPr="001142D0">
        <w:rPr>
          <w:i/>
          <w:lang w:eastAsia="en-GB"/>
        </w:rPr>
        <w:t xml:space="preserve">after </w:t>
      </w:r>
      <w:r w:rsidR="008D2854" w:rsidRPr="001142D0">
        <w:rPr>
          <w:lang w:eastAsia="en-GB"/>
        </w:rPr>
        <w:t xml:space="preserve">the date of the transfer if the </w:t>
      </w:r>
      <w:r w:rsidR="008D2854">
        <w:rPr>
          <w:lang w:eastAsia="en-GB"/>
        </w:rPr>
        <w:t xml:space="preserve">academy </w:t>
      </w:r>
      <w:r w:rsidR="008D2854" w:rsidRPr="001142D0">
        <w:rPr>
          <w:lang w:eastAsia="en-GB"/>
        </w:rPr>
        <w:t>is not a participant in the collective bargaining machinery</w:t>
      </w:r>
      <w:r w:rsidR="008D2854">
        <w:rPr>
          <w:lang w:eastAsia="en-GB"/>
        </w:rPr>
        <w:t xml:space="preserve"> that determines a dynamic term of the contract. </w:t>
      </w:r>
      <w:r w:rsidR="001F1837">
        <w:rPr>
          <w:lang w:eastAsia="en-GB"/>
        </w:rPr>
        <w:t xml:space="preserve">This regulation put into effect the European Court of Justice decision in </w:t>
      </w:r>
      <w:r w:rsidR="001F1837">
        <w:rPr>
          <w:i/>
          <w:lang w:eastAsia="en-GB"/>
        </w:rPr>
        <w:t xml:space="preserve">Alemo Herron v Parkwood </w:t>
      </w:r>
      <w:r w:rsidR="001F1837">
        <w:rPr>
          <w:lang w:eastAsia="en-GB"/>
        </w:rPr>
        <w:t xml:space="preserve">[2013]. </w:t>
      </w:r>
      <w:r w:rsidR="00935792">
        <w:rPr>
          <w:lang w:eastAsia="en-GB"/>
        </w:rPr>
        <w:t xml:space="preserve">So for example, if the employee is on NJC terms and conditions prior to the transfer, and a pay increase is agreed post transfer, the employee will not be </w:t>
      </w:r>
      <w:r w:rsidR="00455F56">
        <w:rPr>
          <w:lang w:eastAsia="en-GB"/>
        </w:rPr>
        <w:t>‘</w:t>
      </w:r>
      <w:r w:rsidR="00935792">
        <w:rPr>
          <w:lang w:eastAsia="en-GB"/>
        </w:rPr>
        <w:t>entitled</w:t>
      </w:r>
      <w:r w:rsidR="00455F56">
        <w:rPr>
          <w:lang w:eastAsia="en-GB"/>
        </w:rPr>
        <w:t>’</w:t>
      </w:r>
      <w:r w:rsidR="00935792">
        <w:rPr>
          <w:lang w:eastAsia="en-GB"/>
        </w:rPr>
        <w:t xml:space="preserve"> to that pay increase if the academy is not a participant in NJC. </w:t>
      </w:r>
      <w:r w:rsidR="008D2854">
        <w:rPr>
          <w:lang w:eastAsia="en-GB"/>
        </w:rPr>
        <w:t xml:space="preserve">This means that </w:t>
      </w:r>
      <w:r w:rsidR="00935792">
        <w:rPr>
          <w:lang w:eastAsia="en-GB"/>
        </w:rPr>
        <w:t xml:space="preserve">the employee’s </w:t>
      </w:r>
      <w:r w:rsidR="00726F9D">
        <w:rPr>
          <w:lang w:eastAsia="en-GB"/>
        </w:rPr>
        <w:t xml:space="preserve">pay </w:t>
      </w:r>
      <w:r w:rsidR="008D2854">
        <w:rPr>
          <w:lang w:eastAsia="en-GB"/>
        </w:rPr>
        <w:t>remain as they were at the point of transfer.</w:t>
      </w:r>
    </w:p>
    <w:p w14:paraId="7A40E1EF" w14:textId="77777777" w:rsidR="00F7241D" w:rsidRDefault="00F7241D">
      <w:pPr>
        <w:pStyle w:val="ListParagraph"/>
        <w:spacing w:after="0" w:line="240" w:lineRule="auto"/>
        <w:ind w:left="426"/>
      </w:pPr>
    </w:p>
    <w:p w14:paraId="26288915" w14:textId="77777777" w:rsidR="001F1837" w:rsidRDefault="00F21A35" w:rsidP="00726C89">
      <w:pPr>
        <w:pStyle w:val="ListParagraph"/>
        <w:numPr>
          <w:ilvl w:val="0"/>
          <w:numId w:val="6"/>
        </w:numPr>
        <w:spacing w:after="0" w:line="240" w:lineRule="auto"/>
        <w:ind w:left="426" w:hanging="426"/>
      </w:pPr>
      <w:r>
        <w:t xml:space="preserve">Most new employers </w:t>
      </w:r>
      <w:r w:rsidR="00455F56">
        <w:t>however,</w:t>
      </w:r>
      <w:r w:rsidR="004E265F">
        <w:t xml:space="preserve"> </w:t>
      </w:r>
      <w:r>
        <w:t>continue to honour</w:t>
      </w:r>
      <w:r w:rsidR="001F1837">
        <w:t xml:space="preserve"> increases to pay and other terms and conditions derived from </w:t>
      </w:r>
      <w:r>
        <w:t xml:space="preserve">national </w:t>
      </w:r>
      <w:r w:rsidR="001F1837">
        <w:t xml:space="preserve">collective agreements.  </w:t>
      </w:r>
      <w:r>
        <w:t xml:space="preserve">Branches should negotiate </w:t>
      </w:r>
      <w:r w:rsidR="001F1837">
        <w:t xml:space="preserve">with the new employer to </w:t>
      </w:r>
      <w:r>
        <w:t xml:space="preserve">continue </w:t>
      </w:r>
      <w:r w:rsidR="00416931">
        <w:t>to</w:t>
      </w:r>
      <w:r>
        <w:t xml:space="preserve"> </w:t>
      </w:r>
      <w:r w:rsidR="001F1837">
        <w:t>mirror national agreements covering pay and other terms and conditions</w:t>
      </w:r>
      <w:r>
        <w:t>, as a minimum</w:t>
      </w:r>
      <w:r w:rsidR="001F1837">
        <w:t xml:space="preserve">. Usually employers will cover this in a recognition </w:t>
      </w:r>
      <w:r w:rsidR="00416931">
        <w:t>agreement;</w:t>
      </w:r>
      <w:r w:rsidR="001F1837">
        <w:t xml:space="preserve"> however, a more secur</w:t>
      </w:r>
      <w:r>
        <w:t>e</w:t>
      </w:r>
      <w:r w:rsidR="00416931">
        <w:t xml:space="preserve"> way</w:t>
      </w:r>
      <w:r>
        <w:t xml:space="preserve"> of ensuring compliance is for</w:t>
      </w:r>
      <w:r w:rsidR="001F1837">
        <w:t xml:space="preserve"> the new employer </w:t>
      </w:r>
      <w:r>
        <w:t xml:space="preserve">to </w:t>
      </w:r>
      <w:r w:rsidR="001F1837">
        <w:t>agree to include a term in th</w:t>
      </w:r>
      <w:r>
        <w:t>e employees</w:t>
      </w:r>
      <w:r w:rsidR="00416931">
        <w:t>’</w:t>
      </w:r>
      <w:r>
        <w:t xml:space="preserve"> individual contract</w:t>
      </w:r>
      <w:r w:rsidR="00416931">
        <w:t xml:space="preserve">s of employment stating </w:t>
      </w:r>
      <w:r w:rsidR="001F1837">
        <w:t>that national agreements will continue to apply.</w:t>
      </w:r>
    </w:p>
    <w:p w14:paraId="7C1FBCD2" w14:textId="77777777" w:rsidR="00F11E3A" w:rsidRDefault="00F11E3A">
      <w:pPr>
        <w:pStyle w:val="ListParagraph"/>
        <w:ind w:left="426" w:hanging="426"/>
      </w:pPr>
    </w:p>
    <w:p w14:paraId="689BCE74" w14:textId="77777777" w:rsidR="003B5A26" w:rsidRPr="0020683C" w:rsidRDefault="00FE494A" w:rsidP="00F21A35">
      <w:pPr>
        <w:pStyle w:val="ListParagraph"/>
        <w:numPr>
          <w:ilvl w:val="0"/>
          <w:numId w:val="6"/>
        </w:numPr>
        <w:spacing w:after="0" w:line="240" w:lineRule="auto"/>
        <w:ind w:left="426" w:hanging="426"/>
      </w:pPr>
      <w:r>
        <w:t>Also, r</w:t>
      </w:r>
      <w:r w:rsidR="00935792">
        <w:t>egulation 4B allow</w:t>
      </w:r>
      <w:r>
        <w:t>s</w:t>
      </w:r>
      <w:r w:rsidR="00935792">
        <w:t xml:space="preserve"> </w:t>
      </w:r>
      <w:r w:rsidR="00935792" w:rsidRPr="001142D0">
        <w:rPr>
          <w:lang w:eastAsia="en-GB"/>
        </w:rPr>
        <w:t xml:space="preserve">terms and conditions derived from </w:t>
      </w:r>
      <w:r w:rsidR="00353D6E" w:rsidRPr="00353D6E">
        <w:rPr>
          <w:u w:val="single"/>
          <w:lang w:eastAsia="en-GB"/>
        </w:rPr>
        <w:t xml:space="preserve">collective </w:t>
      </w:r>
      <w:r w:rsidR="00935792" w:rsidRPr="001142D0">
        <w:rPr>
          <w:lang w:eastAsia="en-GB"/>
        </w:rPr>
        <w:t xml:space="preserve">agreements </w:t>
      </w:r>
      <w:r w:rsidR="00935792">
        <w:rPr>
          <w:lang w:eastAsia="en-GB"/>
        </w:rPr>
        <w:t>to</w:t>
      </w:r>
      <w:r w:rsidR="00935792" w:rsidRPr="001142D0">
        <w:rPr>
          <w:lang w:eastAsia="en-GB"/>
        </w:rPr>
        <w:t xml:space="preserve"> be varied even if the transfer is the sole or principal reason for the variation, provided that</w:t>
      </w:r>
      <w:r w:rsidR="00935792">
        <w:rPr>
          <w:lang w:eastAsia="en-GB"/>
        </w:rPr>
        <w:t xml:space="preserve"> </w:t>
      </w:r>
      <w:r w:rsidR="0020683C" w:rsidRPr="001142D0">
        <w:rPr>
          <w:lang w:val="en-US"/>
        </w:rPr>
        <w:t>the variation takes effect more than one year after the date of the transfer; and</w:t>
      </w:r>
      <w:r w:rsidR="0020683C" w:rsidRPr="0020683C">
        <w:rPr>
          <w:lang w:val="en-US"/>
        </w:rPr>
        <w:t xml:space="preserve"> </w:t>
      </w:r>
      <w:r w:rsidR="0020683C" w:rsidRPr="001142D0">
        <w:rPr>
          <w:lang w:val="en-US"/>
        </w:rPr>
        <w:t xml:space="preserve">following the variation, the rights and obligations of the employee’s contract, considered together, are no less favourable to the employee than those which applied </w:t>
      </w:r>
      <w:r w:rsidR="0020683C" w:rsidRPr="001142D0">
        <w:rPr>
          <w:u w:val="single"/>
          <w:lang w:val="en-US"/>
        </w:rPr>
        <w:t>immediately</w:t>
      </w:r>
      <w:r w:rsidR="0020683C" w:rsidRPr="001142D0">
        <w:rPr>
          <w:lang w:val="en-US"/>
        </w:rPr>
        <w:t xml:space="preserve"> before the variation</w:t>
      </w:r>
      <w:r w:rsidR="0020683C">
        <w:rPr>
          <w:lang w:val="en-US"/>
        </w:rPr>
        <w:t>.</w:t>
      </w:r>
      <w:r w:rsidR="00254E92">
        <w:rPr>
          <w:lang w:val="en-US"/>
        </w:rPr>
        <w:t xml:space="preserve"> Therefore the new terms and conditions cannot overall be less favourable.</w:t>
      </w:r>
      <w:r w:rsidR="00F21A35">
        <w:rPr>
          <w:lang w:val="en-US"/>
        </w:rPr>
        <w:t xml:space="preserve"> </w:t>
      </w:r>
      <w:r w:rsidR="003B5A26">
        <w:t>Where employers seek to do this, branches should contact</w:t>
      </w:r>
      <w:r w:rsidR="00F21A35">
        <w:t xml:space="preserve"> their Region to seek </w:t>
      </w:r>
      <w:r w:rsidR="003B5A26">
        <w:t>advice.</w:t>
      </w:r>
    </w:p>
    <w:p w14:paraId="3C4C363F" w14:textId="77777777" w:rsidR="00F11E3A" w:rsidRDefault="00F11E3A">
      <w:pPr>
        <w:pStyle w:val="ListParagraph"/>
        <w:ind w:left="426" w:hanging="426"/>
      </w:pPr>
    </w:p>
    <w:p w14:paraId="52C9DD43" w14:textId="77777777" w:rsidR="0020683C" w:rsidRPr="0020683C" w:rsidRDefault="00353D6E" w:rsidP="00726C89">
      <w:pPr>
        <w:pStyle w:val="ListParagraph"/>
        <w:numPr>
          <w:ilvl w:val="0"/>
          <w:numId w:val="6"/>
        </w:numPr>
        <w:spacing w:after="0" w:line="240" w:lineRule="auto"/>
        <w:ind w:left="426" w:hanging="426"/>
      </w:pPr>
      <w:r>
        <w:rPr>
          <w:lang w:eastAsia="en-GB"/>
        </w:rPr>
        <w:t xml:space="preserve">What this means is that those terms and conditions that arise out of an individual contract of employment will have greater protection from variation under TUPE </w:t>
      </w:r>
      <w:r w:rsidRPr="00353D6E">
        <w:rPr>
          <w:lang w:eastAsia="en-GB"/>
        </w:rPr>
        <w:t>than</w:t>
      </w:r>
      <w:r w:rsidR="0020683C" w:rsidRPr="0020683C">
        <w:rPr>
          <w:lang w:eastAsia="en-GB"/>
        </w:rPr>
        <w:t xml:space="preserve"> those that </w:t>
      </w:r>
      <w:r w:rsidRPr="00353D6E">
        <w:rPr>
          <w:lang w:eastAsia="en-GB"/>
        </w:rPr>
        <w:t>derive</w:t>
      </w:r>
      <w:r w:rsidR="0020683C" w:rsidRPr="0020683C">
        <w:rPr>
          <w:lang w:eastAsia="en-GB"/>
        </w:rPr>
        <w:t xml:space="preserve"> from collective agreements</w:t>
      </w:r>
      <w:r w:rsidR="0020683C">
        <w:rPr>
          <w:lang w:eastAsia="en-GB"/>
        </w:rPr>
        <w:t>.</w:t>
      </w:r>
    </w:p>
    <w:p w14:paraId="253A2D08" w14:textId="77777777" w:rsidR="00D75B0D" w:rsidRPr="00356873" w:rsidRDefault="00D75B0D" w:rsidP="00FC1C63">
      <w:pPr>
        <w:rPr>
          <w:b/>
          <w:sz w:val="22"/>
          <w:szCs w:val="22"/>
        </w:rPr>
      </w:pPr>
    </w:p>
    <w:p w14:paraId="43DE4FA4" w14:textId="77777777" w:rsidR="004E265F" w:rsidRDefault="004E265F" w:rsidP="00726C89">
      <w:pPr>
        <w:ind w:left="426" w:hanging="426"/>
        <w:rPr>
          <w:rFonts w:ascii="Arial" w:hAnsi="Arial" w:cs="Arial"/>
          <w:b/>
        </w:rPr>
      </w:pPr>
    </w:p>
    <w:p w14:paraId="42A22836" w14:textId="77777777" w:rsidR="00356873" w:rsidRPr="008E7A0E" w:rsidRDefault="00356873" w:rsidP="00726C89">
      <w:pPr>
        <w:ind w:left="426" w:hanging="426"/>
        <w:rPr>
          <w:rFonts w:ascii="Arial" w:hAnsi="Arial" w:cs="Arial"/>
          <w:b/>
        </w:rPr>
      </w:pPr>
      <w:r w:rsidRPr="008E7A0E">
        <w:rPr>
          <w:rFonts w:ascii="Arial" w:hAnsi="Arial" w:cs="Arial"/>
          <w:b/>
        </w:rPr>
        <w:t>Recognition Agreements with Trade Unions</w:t>
      </w:r>
    </w:p>
    <w:p w14:paraId="61ED6D17" w14:textId="77777777" w:rsidR="00356873" w:rsidRPr="00356873" w:rsidRDefault="00356873" w:rsidP="00726C89">
      <w:pPr>
        <w:pStyle w:val="ListParagraph"/>
        <w:spacing w:line="240" w:lineRule="auto"/>
        <w:ind w:left="426" w:hanging="426"/>
      </w:pPr>
    </w:p>
    <w:p w14:paraId="6C7F0483" w14:textId="77777777" w:rsidR="00356873" w:rsidRDefault="00544F1B" w:rsidP="00726C89">
      <w:pPr>
        <w:pStyle w:val="ListParagraph"/>
        <w:numPr>
          <w:ilvl w:val="0"/>
          <w:numId w:val="6"/>
        </w:numPr>
        <w:spacing w:after="0" w:line="240" w:lineRule="auto"/>
        <w:ind w:left="426" w:hanging="426"/>
      </w:pPr>
      <w:r>
        <w:t xml:space="preserve">TUPE 2006 transfers </w:t>
      </w:r>
      <w:r w:rsidR="00FE494A">
        <w:t xml:space="preserve">any </w:t>
      </w:r>
      <w:r w:rsidR="00356873" w:rsidRPr="00356873">
        <w:t>recognition agreement</w:t>
      </w:r>
      <w:r>
        <w:t>s</w:t>
      </w:r>
      <w:r w:rsidR="00356873" w:rsidRPr="00356873">
        <w:t xml:space="preserve"> between the school and a recognised trade union </w:t>
      </w:r>
      <w:r w:rsidR="00D75B0D">
        <w:t xml:space="preserve">across to the academy </w:t>
      </w:r>
      <w:r w:rsidR="00356873" w:rsidRPr="00356873">
        <w:t xml:space="preserve">(Regulation 6(1)).  </w:t>
      </w:r>
    </w:p>
    <w:p w14:paraId="5FDD0AC7" w14:textId="77777777" w:rsidR="0092660D" w:rsidRDefault="0092660D" w:rsidP="0092660D">
      <w:pPr>
        <w:pStyle w:val="ListParagraph"/>
        <w:spacing w:after="0" w:line="240" w:lineRule="auto"/>
        <w:ind w:left="426"/>
      </w:pPr>
    </w:p>
    <w:p w14:paraId="3DF3516E" w14:textId="77777777" w:rsidR="002616B3" w:rsidRPr="00356873" w:rsidRDefault="002616B3" w:rsidP="00726C89">
      <w:pPr>
        <w:pStyle w:val="ListParagraph"/>
        <w:numPr>
          <w:ilvl w:val="0"/>
          <w:numId w:val="6"/>
        </w:numPr>
        <w:spacing w:after="0" w:line="240" w:lineRule="auto"/>
        <w:ind w:left="426" w:hanging="426"/>
      </w:pPr>
      <w:r>
        <w:t xml:space="preserve">However, an employer can give notice to </w:t>
      </w:r>
      <w:r w:rsidR="00957B67">
        <w:t>de-recognise a trade union</w:t>
      </w:r>
      <w:r w:rsidR="00611D39">
        <w:t xml:space="preserve"> (though this is a very rare occurrence)</w:t>
      </w:r>
      <w:r w:rsidR="00C14AE4">
        <w:t xml:space="preserve"> – If this happens then branches must seek urgent advice and support from their Region.</w:t>
      </w:r>
    </w:p>
    <w:p w14:paraId="3A87BA55" w14:textId="77777777" w:rsidR="00356873" w:rsidRDefault="00356873" w:rsidP="00726C89">
      <w:pPr>
        <w:ind w:left="426" w:hanging="426"/>
        <w:rPr>
          <w:sz w:val="22"/>
          <w:szCs w:val="22"/>
        </w:rPr>
      </w:pPr>
    </w:p>
    <w:p w14:paraId="040432C3" w14:textId="77777777" w:rsidR="00544F1B" w:rsidRPr="00356873" w:rsidRDefault="00544F1B" w:rsidP="00726C89">
      <w:pPr>
        <w:ind w:left="426" w:hanging="426"/>
        <w:rPr>
          <w:sz w:val="22"/>
          <w:szCs w:val="22"/>
        </w:rPr>
      </w:pPr>
    </w:p>
    <w:p w14:paraId="301C1B30" w14:textId="77777777" w:rsidR="00356873" w:rsidRPr="008E7A0E" w:rsidRDefault="00356873" w:rsidP="00726C89">
      <w:pPr>
        <w:ind w:left="426" w:hanging="426"/>
        <w:rPr>
          <w:rFonts w:ascii="Arial" w:hAnsi="Arial" w:cs="Arial"/>
          <w:b/>
        </w:rPr>
      </w:pPr>
      <w:r w:rsidRPr="008E7A0E">
        <w:rPr>
          <w:rFonts w:ascii="Arial" w:hAnsi="Arial" w:cs="Arial"/>
          <w:b/>
        </w:rPr>
        <w:t>Duty to Inform and Consult</w:t>
      </w:r>
    </w:p>
    <w:p w14:paraId="414BCAB1" w14:textId="77777777" w:rsidR="00356873" w:rsidRPr="00356873" w:rsidRDefault="00356873" w:rsidP="00726C89">
      <w:pPr>
        <w:ind w:left="426" w:hanging="426"/>
        <w:rPr>
          <w:b/>
          <w:sz w:val="22"/>
          <w:szCs w:val="22"/>
        </w:rPr>
      </w:pPr>
    </w:p>
    <w:p w14:paraId="13ABC25E" w14:textId="77777777" w:rsidR="00356873" w:rsidRPr="00356873" w:rsidRDefault="00FE494A" w:rsidP="00726C89">
      <w:pPr>
        <w:pStyle w:val="ListParagraph"/>
        <w:numPr>
          <w:ilvl w:val="0"/>
          <w:numId w:val="6"/>
        </w:numPr>
        <w:spacing w:after="0" w:line="240" w:lineRule="auto"/>
        <w:ind w:left="426" w:hanging="426"/>
      </w:pPr>
      <w:r>
        <w:t>Prior to the transfer, b</w:t>
      </w:r>
      <w:r w:rsidR="00356873" w:rsidRPr="00356873">
        <w:t>oth the school and academy must notify trade unions or employee representatives about certain information and if measures are to be taken which could affect the employees (TUPE 2006, Regulation 13).</w:t>
      </w:r>
    </w:p>
    <w:p w14:paraId="3F4C505D" w14:textId="77777777" w:rsidR="00356873" w:rsidRPr="00356873" w:rsidRDefault="00356873" w:rsidP="00726C89">
      <w:pPr>
        <w:ind w:left="426" w:hanging="426"/>
        <w:rPr>
          <w:sz w:val="22"/>
          <w:szCs w:val="22"/>
        </w:rPr>
      </w:pPr>
    </w:p>
    <w:p w14:paraId="6DB3CCCF" w14:textId="77777777" w:rsidR="00356873" w:rsidRPr="00356873" w:rsidRDefault="00356873" w:rsidP="00726C89">
      <w:pPr>
        <w:pStyle w:val="ListParagraph"/>
        <w:numPr>
          <w:ilvl w:val="0"/>
          <w:numId w:val="6"/>
        </w:numPr>
        <w:spacing w:after="0" w:line="240" w:lineRule="auto"/>
        <w:ind w:left="426" w:hanging="426"/>
      </w:pPr>
      <w:r w:rsidRPr="00356873">
        <w:t xml:space="preserve">Regulation 13 </w:t>
      </w:r>
      <w:r w:rsidR="002A33C5">
        <w:t xml:space="preserve">sets out the obligations </w:t>
      </w:r>
      <w:r w:rsidRPr="00356873">
        <w:t xml:space="preserve">to inform and consult.  </w:t>
      </w:r>
      <w:r w:rsidR="002A33C5">
        <w:t>Under regulation 13(2) the school must</w:t>
      </w:r>
      <w:r w:rsidRPr="00356873">
        <w:t xml:space="preserve"> inform the ap</w:t>
      </w:r>
      <w:r w:rsidR="002A33C5">
        <w:t>propriate representatives of any</w:t>
      </w:r>
      <w:r w:rsidRPr="00356873">
        <w:t xml:space="preserve"> affected employees of (amongst other things) the legal, economic and social implications of the transfer for any affe</w:t>
      </w:r>
      <w:r w:rsidR="002A33C5">
        <w:t xml:space="preserve">cted employees. This includes </w:t>
      </w:r>
      <w:r w:rsidRPr="00356873">
        <w:t>the effect of the relevant transfer upon the contracts of employmen</w:t>
      </w:r>
      <w:r w:rsidR="002A33C5">
        <w:t>t of affected employees and</w:t>
      </w:r>
      <w:r w:rsidRPr="00356873">
        <w:t xml:space="preserve"> in particular, whether the school considers that particular employees will or will not transfer.  That information must be provided long enough before a relevant transfe</w:t>
      </w:r>
      <w:r w:rsidR="002A33C5">
        <w:t xml:space="preserve">r to enable the </w:t>
      </w:r>
      <w:r w:rsidR="00FE494A">
        <w:t xml:space="preserve">school </w:t>
      </w:r>
      <w:r w:rsidRPr="00356873">
        <w:t xml:space="preserve">to consult with trade unions and the appropriate representatives of any affected employees. </w:t>
      </w:r>
    </w:p>
    <w:p w14:paraId="25C516EA" w14:textId="77777777" w:rsidR="00356873" w:rsidRPr="00356873" w:rsidRDefault="00356873" w:rsidP="00726C89">
      <w:pPr>
        <w:ind w:left="426" w:hanging="426"/>
        <w:rPr>
          <w:sz w:val="22"/>
          <w:szCs w:val="22"/>
        </w:rPr>
      </w:pPr>
    </w:p>
    <w:p w14:paraId="150CD046" w14:textId="77777777" w:rsidR="00356873" w:rsidRPr="00356873" w:rsidRDefault="00356873" w:rsidP="00726C89">
      <w:pPr>
        <w:pStyle w:val="ListParagraph"/>
        <w:numPr>
          <w:ilvl w:val="0"/>
          <w:numId w:val="6"/>
        </w:numPr>
        <w:spacing w:after="0" w:line="240" w:lineRule="auto"/>
        <w:ind w:left="426" w:hanging="426"/>
      </w:pPr>
      <w:r w:rsidRPr="00356873">
        <w:t>Under Regulation 14(</w:t>
      </w:r>
      <w:r w:rsidR="002A33C5">
        <w:t>1), the school must inform recognised unions of the following</w:t>
      </w:r>
      <w:r w:rsidRPr="00356873">
        <w:t>:</w:t>
      </w:r>
    </w:p>
    <w:p w14:paraId="279EC8ED" w14:textId="77777777" w:rsidR="00356873" w:rsidRPr="00356873" w:rsidRDefault="00356873" w:rsidP="00726C89">
      <w:pPr>
        <w:pStyle w:val="ListParagraph"/>
        <w:spacing w:line="240" w:lineRule="auto"/>
        <w:ind w:left="426" w:hanging="426"/>
      </w:pPr>
    </w:p>
    <w:p w14:paraId="118EE81E" w14:textId="77777777" w:rsidR="00F11E3A" w:rsidRDefault="00356873">
      <w:pPr>
        <w:pStyle w:val="ListParagraph"/>
        <w:numPr>
          <w:ilvl w:val="0"/>
          <w:numId w:val="8"/>
        </w:numPr>
        <w:spacing w:line="240" w:lineRule="auto"/>
        <w:ind w:left="851" w:hanging="425"/>
      </w:pPr>
      <w:r w:rsidRPr="00356873">
        <w:t>The fact that the transfer is to take place;</w:t>
      </w:r>
    </w:p>
    <w:p w14:paraId="326B8D55" w14:textId="77777777" w:rsidR="00F11E3A" w:rsidRDefault="00356873">
      <w:pPr>
        <w:pStyle w:val="ListParagraph"/>
        <w:numPr>
          <w:ilvl w:val="0"/>
          <w:numId w:val="8"/>
        </w:numPr>
        <w:spacing w:line="240" w:lineRule="auto"/>
        <w:ind w:left="851" w:hanging="425"/>
      </w:pPr>
      <w:r w:rsidRPr="00356873">
        <w:t>The approximate date of the proposed transfer;</w:t>
      </w:r>
    </w:p>
    <w:p w14:paraId="6319C5D3" w14:textId="77777777" w:rsidR="00F11E3A" w:rsidRDefault="00356873">
      <w:pPr>
        <w:pStyle w:val="ListParagraph"/>
        <w:numPr>
          <w:ilvl w:val="0"/>
          <w:numId w:val="8"/>
        </w:numPr>
        <w:spacing w:line="240" w:lineRule="auto"/>
        <w:ind w:left="851" w:hanging="425"/>
      </w:pPr>
      <w:r w:rsidRPr="00356873">
        <w:t>The reason for the proposed transfer;</w:t>
      </w:r>
    </w:p>
    <w:p w14:paraId="6EC72896" w14:textId="77777777" w:rsidR="00F11E3A" w:rsidRDefault="00356873">
      <w:pPr>
        <w:pStyle w:val="ListParagraph"/>
        <w:numPr>
          <w:ilvl w:val="0"/>
          <w:numId w:val="8"/>
        </w:numPr>
        <w:spacing w:line="240" w:lineRule="auto"/>
        <w:ind w:left="851" w:hanging="425"/>
      </w:pPr>
      <w:r w:rsidRPr="00356873">
        <w:t>The legal, economic and social implications of the transfer for the affected employees; and</w:t>
      </w:r>
    </w:p>
    <w:p w14:paraId="696CE2C6" w14:textId="77777777" w:rsidR="00F11E3A" w:rsidRDefault="00356873">
      <w:pPr>
        <w:pStyle w:val="ListParagraph"/>
        <w:numPr>
          <w:ilvl w:val="0"/>
          <w:numId w:val="8"/>
        </w:numPr>
        <w:spacing w:after="0" w:line="240" w:lineRule="auto"/>
        <w:ind w:left="851" w:hanging="425"/>
      </w:pPr>
      <w:r w:rsidRPr="00356873">
        <w:t xml:space="preserve">Any measure which is envisaged the school or the academy will take as a result of the transfer, or if no such measures will be taken, this should be stated.  </w:t>
      </w:r>
    </w:p>
    <w:p w14:paraId="1144AF82" w14:textId="77777777" w:rsidR="00356873" w:rsidRPr="00356873" w:rsidRDefault="00356873" w:rsidP="00726C89">
      <w:pPr>
        <w:ind w:left="426" w:hanging="426"/>
        <w:rPr>
          <w:sz w:val="22"/>
          <w:szCs w:val="22"/>
        </w:rPr>
      </w:pPr>
    </w:p>
    <w:p w14:paraId="130DBF15" w14:textId="77777777" w:rsidR="00BE6355" w:rsidRDefault="00BE6355" w:rsidP="00726C89">
      <w:pPr>
        <w:pStyle w:val="ListParagraph"/>
        <w:numPr>
          <w:ilvl w:val="0"/>
          <w:numId w:val="6"/>
        </w:numPr>
        <w:spacing w:after="0" w:line="240" w:lineRule="auto"/>
        <w:ind w:left="426" w:hanging="426"/>
      </w:pPr>
      <w:r>
        <w:t>The Tr</w:t>
      </w:r>
      <w:r w:rsidR="00F21A35">
        <w:t>ansferor must also inform the unions</w:t>
      </w:r>
      <w:r>
        <w:t xml:space="preserve"> </w:t>
      </w:r>
      <w:r w:rsidR="00F21A35">
        <w:t xml:space="preserve">about </w:t>
      </w:r>
      <w:r>
        <w:t>any agency workers they engage.</w:t>
      </w:r>
    </w:p>
    <w:p w14:paraId="11684C98" w14:textId="77777777" w:rsidR="00F7241D" w:rsidRDefault="00F7241D">
      <w:pPr>
        <w:pStyle w:val="ListParagraph"/>
        <w:spacing w:after="0" w:line="240" w:lineRule="auto"/>
        <w:ind w:left="426"/>
      </w:pPr>
    </w:p>
    <w:p w14:paraId="694F0D07" w14:textId="77777777" w:rsidR="00356873" w:rsidRPr="00356873" w:rsidRDefault="00356873" w:rsidP="00726C89">
      <w:pPr>
        <w:pStyle w:val="ListParagraph"/>
        <w:numPr>
          <w:ilvl w:val="0"/>
          <w:numId w:val="6"/>
        </w:numPr>
        <w:spacing w:after="0" w:line="240" w:lineRule="auto"/>
        <w:ind w:left="426" w:hanging="426"/>
      </w:pPr>
      <w:r w:rsidRPr="00356873">
        <w:t>“Measure” means an action which the school or academy i</w:t>
      </w:r>
      <w:r w:rsidR="002A33C5">
        <w:t>ntends to implement, not</w:t>
      </w:r>
      <w:r w:rsidRPr="00356873">
        <w:t xml:space="preserve"> a vague idea of future arrangements (Regulation 13(2)).  If measures are to be taken by either the school or the acade</w:t>
      </w:r>
      <w:r w:rsidR="002A33C5">
        <w:t>my that affect employees</w:t>
      </w:r>
      <w:r w:rsidRPr="00356873">
        <w:t>, then the party which is to take those measures mu</w:t>
      </w:r>
      <w:r w:rsidR="002A33C5">
        <w:t>st consult with</w:t>
      </w:r>
      <w:r w:rsidR="007442E9">
        <w:t xml:space="preserve"> </w:t>
      </w:r>
      <w:r w:rsidR="002A33C5">
        <w:t>union</w:t>
      </w:r>
      <w:r w:rsidR="007442E9">
        <w:t>s</w:t>
      </w:r>
      <w:r w:rsidR="002A33C5">
        <w:t>,</w:t>
      </w:r>
      <w:r w:rsidRPr="00356873">
        <w:t xml:space="preserve"> consider</w:t>
      </w:r>
      <w:r w:rsidR="007442E9">
        <w:t xml:space="preserve"> thei</w:t>
      </w:r>
      <w:r w:rsidR="002A33C5">
        <w:t>r</w:t>
      </w:r>
      <w:r w:rsidRPr="00356873">
        <w:t xml:space="preserve"> view</w:t>
      </w:r>
      <w:r w:rsidR="002A33C5">
        <w:t>s</w:t>
      </w:r>
      <w:r w:rsidR="007442E9">
        <w:t xml:space="preserve"> and seek</w:t>
      </w:r>
      <w:r w:rsidRPr="00356873">
        <w:t xml:space="preserve"> agreement before any </w:t>
      </w:r>
      <w:r w:rsidR="007442E9">
        <w:t>final decision</w:t>
      </w:r>
      <w:r w:rsidRPr="00356873">
        <w:t xml:space="preserve"> is reached (Regulation 13(6)). </w:t>
      </w:r>
      <w:r w:rsidR="002A33C5">
        <w:t>T</w:t>
      </w:r>
      <w:r w:rsidRPr="00356873">
        <w:t>he school or</w:t>
      </w:r>
      <w:r w:rsidR="002A33C5">
        <w:t xml:space="preserve"> academy must discuss </w:t>
      </w:r>
      <w:r w:rsidRPr="00356873">
        <w:t>matters wi</w:t>
      </w:r>
      <w:r w:rsidR="007442E9">
        <w:t>th</w:t>
      </w:r>
      <w:r w:rsidR="002A33C5">
        <w:t xml:space="preserve"> union</w:t>
      </w:r>
      <w:r w:rsidR="007442E9">
        <w:t>s</w:t>
      </w:r>
      <w:r w:rsidR="002A33C5">
        <w:t xml:space="preserve"> </w:t>
      </w:r>
      <w:r w:rsidRPr="00356873">
        <w:t>with an open min</w:t>
      </w:r>
      <w:r w:rsidR="002A33C5">
        <w:t>d and</w:t>
      </w:r>
      <w:r w:rsidRPr="00356873">
        <w:t xml:space="preserve"> make e</w:t>
      </w:r>
      <w:r w:rsidR="002A33C5">
        <w:t>very effort to secure their agreement to any proposals and accommodate any objections.  The school or academy must consider</w:t>
      </w:r>
      <w:r w:rsidRPr="00356873">
        <w:t xml:space="preserve"> repr</w:t>
      </w:r>
      <w:r w:rsidR="002A33C5">
        <w:t>esentations, reply to them and state the reasons why, if they are to be rejected.</w:t>
      </w:r>
    </w:p>
    <w:p w14:paraId="18B3AD06" w14:textId="77777777" w:rsidR="00356873" w:rsidRPr="00356873" w:rsidRDefault="00356873" w:rsidP="00726C89">
      <w:pPr>
        <w:pStyle w:val="ListParagraph"/>
        <w:spacing w:after="0" w:line="240" w:lineRule="auto"/>
        <w:ind w:left="426" w:hanging="426"/>
      </w:pPr>
    </w:p>
    <w:p w14:paraId="40016CBD" w14:textId="77777777" w:rsidR="00FE494A" w:rsidRDefault="00356873" w:rsidP="00726C89">
      <w:pPr>
        <w:pStyle w:val="ListParagraph"/>
        <w:numPr>
          <w:ilvl w:val="0"/>
          <w:numId w:val="6"/>
        </w:numPr>
        <w:spacing w:after="0" w:line="240" w:lineRule="auto"/>
        <w:ind w:left="426" w:hanging="426"/>
      </w:pPr>
      <w:r w:rsidRPr="00356873">
        <w:lastRenderedPageBreak/>
        <w:t>I</w:t>
      </w:r>
      <w:r w:rsidR="002A33C5">
        <w:t>f the school fails to inform</w:t>
      </w:r>
      <w:r w:rsidRPr="00356873">
        <w:t xml:space="preserve"> representatives</w:t>
      </w:r>
      <w:r w:rsidR="002A33C5">
        <w:t xml:space="preserve"> of the material facts or if </w:t>
      </w:r>
      <w:r w:rsidRPr="00356873">
        <w:t>representat</w:t>
      </w:r>
      <w:r w:rsidR="002A33C5">
        <w:t>ives are not consulted about</w:t>
      </w:r>
      <w:r w:rsidRPr="00356873">
        <w:t xml:space="preserve"> measures whi</w:t>
      </w:r>
      <w:r w:rsidR="002A33C5">
        <w:t xml:space="preserve">ch may be taken, then the </w:t>
      </w:r>
      <w:r w:rsidRPr="00356873">
        <w:t xml:space="preserve">union may bring a </w:t>
      </w:r>
      <w:r w:rsidR="007442E9">
        <w:t>legal challenge to an Employment Tribunal,</w:t>
      </w:r>
      <w:r w:rsidRPr="00356873">
        <w:t xml:space="preserve"> for a declaration and compensation for a failure to consult</w:t>
      </w:r>
      <w:r w:rsidR="007442E9">
        <w:t xml:space="preserve"> (again within 3 months</w:t>
      </w:r>
      <w:r w:rsidR="00FE494A">
        <w:t xml:space="preserve"> less one day of the transfer</w:t>
      </w:r>
      <w:r w:rsidR="007442E9">
        <w:t>)</w:t>
      </w:r>
      <w:r w:rsidRPr="00356873">
        <w:t xml:space="preserve">.  </w:t>
      </w:r>
      <w:r w:rsidR="00FE494A" w:rsidRPr="00356873">
        <w:t>A</w:t>
      </w:r>
      <w:r w:rsidR="00FE494A">
        <w:t xml:space="preserve">n Employment Tribunal claim </w:t>
      </w:r>
      <w:r w:rsidR="00FE494A" w:rsidRPr="00356873">
        <w:t xml:space="preserve">can only be taken in the name </w:t>
      </w:r>
      <w:r w:rsidR="00FE494A">
        <w:t xml:space="preserve">of the </w:t>
      </w:r>
      <w:r w:rsidR="00FE494A" w:rsidRPr="00356873">
        <w:t>union and the award is intended to be punitive, rather than compensatory</w:t>
      </w:r>
      <w:r w:rsidR="00FE494A">
        <w:t>.</w:t>
      </w:r>
      <w:r w:rsidR="00FE494A" w:rsidRPr="00356873">
        <w:t xml:space="preserve"> </w:t>
      </w:r>
      <w:r w:rsidRPr="00356873">
        <w:t>The maximum award i</w:t>
      </w:r>
      <w:r w:rsidR="007442E9">
        <w:t xml:space="preserve">s 13 weeks’ </w:t>
      </w:r>
      <w:r w:rsidR="00FE494A">
        <w:t xml:space="preserve">gross </w:t>
      </w:r>
      <w:r w:rsidR="007442E9">
        <w:t>pay for each affected employee</w:t>
      </w:r>
      <w:r w:rsidRPr="00356873">
        <w:t xml:space="preserve">.  </w:t>
      </w:r>
      <w:r w:rsidR="00FE494A">
        <w:t xml:space="preserve">The Regulations </w:t>
      </w:r>
      <w:r w:rsidR="00FE494A" w:rsidRPr="00356873">
        <w:t>provide that both the school and academy will be jointly liable for a failure to inform and consult (TUPE 2006, Regulation 15(7) (9)).</w:t>
      </w:r>
    </w:p>
    <w:p w14:paraId="11B552EC" w14:textId="77777777" w:rsidR="00F11E3A" w:rsidRDefault="00F11E3A">
      <w:pPr>
        <w:pStyle w:val="ListParagraph"/>
      </w:pPr>
    </w:p>
    <w:p w14:paraId="743AED6A" w14:textId="77777777" w:rsidR="00356873" w:rsidRPr="00356873" w:rsidRDefault="00356873" w:rsidP="00726C89">
      <w:pPr>
        <w:pStyle w:val="ListParagraph"/>
        <w:numPr>
          <w:ilvl w:val="0"/>
          <w:numId w:val="6"/>
        </w:numPr>
        <w:spacing w:after="0" w:line="240" w:lineRule="auto"/>
        <w:ind w:left="426" w:hanging="426"/>
      </w:pPr>
      <w:r w:rsidRPr="00356873">
        <w:t xml:space="preserve"> </w:t>
      </w:r>
      <w:r w:rsidR="00B03B58">
        <w:t>T</w:t>
      </w:r>
      <w:r w:rsidR="007442E9">
        <w:t xml:space="preserve">here is </w:t>
      </w:r>
      <w:r w:rsidRPr="00356873">
        <w:t>no obligation on the academy to consult after the transfer</w:t>
      </w:r>
      <w:r w:rsidR="00455F56">
        <w:t xml:space="preserve"> </w:t>
      </w:r>
      <w:r w:rsidR="00CF4579">
        <w:t>-</w:t>
      </w:r>
      <w:r w:rsidR="00455F56">
        <w:t>consultation and negotiation rights should however, be</w:t>
      </w:r>
      <w:r w:rsidR="00C14AE4">
        <w:t xml:space="preserve"> agreed and </w:t>
      </w:r>
      <w:r w:rsidR="00455F56">
        <w:t>set out in a recognition agreement.</w:t>
      </w:r>
      <w:r w:rsidRPr="00356873">
        <w:t xml:space="preserve">  </w:t>
      </w:r>
    </w:p>
    <w:p w14:paraId="13B2F8DE" w14:textId="77777777" w:rsidR="00356873" w:rsidRDefault="00356873" w:rsidP="00726C89">
      <w:pPr>
        <w:pStyle w:val="ListParagraph"/>
        <w:spacing w:after="0" w:line="240" w:lineRule="auto"/>
        <w:ind w:left="426" w:hanging="426"/>
        <w:jc w:val="both"/>
      </w:pPr>
    </w:p>
    <w:p w14:paraId="54020BC7" w14:textId="77777777" w:rsidR="007442E9" w:rsidRPr="00356873" w:rsidRDefault="007442E9" w:rsidP="00726C89">
      <w:pPr>
        <w:pStyle w:val="ListParagraph"/>
        <w:spacing w:after="0" w:line="240" w:lineRule="auto"/>
        <w:ind w:left="426" w:hanging="426"/>
        <w:jc w:val="both"/>
      </w:pPr>
    </w:p>
    <w:p w14:paraId="6D8AB4CC" w14:textId="77777777" w:rsidR="00356873" w:rsidRPr="008E7A0E" w:rsidRDefault="00356873" w:rsidP="00726C89">
      <w:pPr>
        <w:ind w:left="426" w:hanging="426"/>
        <w:rPr>
          <w:rFonts w:ascii="Arial" w:hAnsi="Arial" w:cs="Arial"/>
          <w:b/>
        </w:rPr>
      </w:pPr>
      <w:r w:rsidRPr="008E7A0E">
        <w:rPr>
          <w:rFonts w:ascii="Arial" w:hAnsi="Arial" w:cs="Arial"/>
          <w:b/>
        </w:rPr>
        <w:t>Conclusion</w:t>
      </w:r>
    </w:p>
    <w:p w14:paraId="7D46D856" w14:textId="77777777" w:rsidR="00356873" w:rsidRPr="00356873" w:rsidRDefault="00356873" w:rsidP="00726C89">
      <w:pPr>
        <w:ind w:left="426" w:hanging="426"/>
        <w:rPr>
          <w:sz w:val="22"/>
          <w:szCs w:val="22"/>
        </w:rPr>
      </w:pPr>
    </w:p>
    <w:p w14:paraId="21E6608B" w14:textId="77777777" w:rsidR="00356873" w:rsidRPr="00356873" w:rsidRDefault="00356873" w:rsidP="00726C89">
      <w:pPr>
        <w:pStyle w:val="ListParagraph"/>
        <w:numPr>
          <w:ilvl w:val="0"/>
          <w:numId w:val="6"/>
        </w:numPr>
        <w:spacing w:after="0" w:line="240" w:lineRule="auto"/>
        <w:ind w:left="426" w:hanging="426"/>
      </w:pPr>
      <w:r w:rsidRPr="00356873">
        <w:t>Given the speed with which schools are conver</w:t>
      </w:r>
      <w:r w:rsidR="007442E9">
        <w:t>ted into academies, and that</w:t>
      </w:r>
      <w:r w:rsidRPr="00356873">
        <w:t xml:space="preserve"> </w:t>
      </w:r>
      <w:r w:rsidR="007442E9">
        <w:t xml:space="preserve">some </w:t>
      </w:r>
      <w:r w:rsidRPr="00356873">
        <w:t>consul</w:t>
      </w:r>
      <w:r w:rsidR="007442E9">
        <w:t>tation periods often include school holidays, it can be difficult to achieve</w:t>
      </w:r>
      <w:r w:rsidRPr="00356873">
        <w:t xml:space="preserve"> mea</w:t>
      </w:r>
      <w:r w:rsidR="007442E9">
        <w:t xml:space="preserve">ningful consultation.  Nonetheless whilst </w:t>
      </w:r>
      <w:r w:rsidR="00FE494A">
        <w:t xml:space="preserve">the Regulations </w:t>
      </w:r>
      <w:r w:rsidR="00611D39" w:rsidRPr="00356873">
        <w:t>do</w:t>
      </w:r>
      <w:r w:rsidRPr="00356873">
        <w:t xml:space="preserve"> not prescribe the manner in which the information is to</w:t>
      </w:r>
      <w:r w:rsidR="007442E9">
        <w:t xml:space="preserve"> be provided nor set out</w:t>
      </w:r>
      <w:r w:rsidRPr="00356873">
        <w:t xml:space="preserve"> any sort of timetable within which to comply, it is necessary for there to be meaningful consultation.</w:t>
      </w:r>
    </w:p>
    <w:p w14:paraId="1E126D5E" w14:textId="77777777" w:rsidR="00356873" w:rsidRPr="00356873" w:rsidRDefault="00356873" w:rsidP="00726C89">
      <w:pPr>
        <w:pStyle w:val="ListParagraph"/>
        <w:spacing w:line="240" w:lineRule="auto"/>
        <w:ind w:left="426" w:hanging="426"/>
      </w:pPr>
    </w:p>
    <w:p w14:paraId="43FA83D1" w14:textId="77777777" w:rsidR="00356873" w:rsidRPr="00637800" w:rsidRDefault="00356873" w:rsidP="00726C89">
      <w:pPr>
        <w:pStyle w:val="ListParagraph"/>
        <w:numPr>
          <w:ilvl w:val="0"/>
          <w:numId w:val="6"/>
        </w:numPr>
        <w:spacing w:after="0" w:line="240" w:lineRule="auto"/>
        <w:ind w:left="426" w:hanging="426"/>
        <w:rPr>
          <w:b/>
          <w:u w:val="single"/>
        </w:rPr>
      </w:pPr>
      <w:r w:rsidRPr="00356873">
        <w:t xml:space="preserve">For further advice and assistance, members can </w:t>
      </w:r>
      <w:r w:rsidR="008D37CF">
        <w:t xml:space="preserve">click </w:t>
      </w:r>
      <w:hyperlink r:id="rId14" w:history="1">
        <w:r w:rsidR="003C1B8A" w:rsidRPr="003C1B8A">
          <w:rPr>
            <w:rStyle w:val="Hyperlink"/>
            <w:b/>
          </w:rPr>
          <w:t>here</w:t>
        </w:r>
      </w:hyperlink>
      <w:r w:rsidR="008D37CF">
        <w:t xml:space="preserve"> </w:t>
      </w:r>
      <w:r w:rsidRPr="00356873">
        <w:t xml:space="preserve"> </w:t>
      </w:r>
      <w:r w:rsidR="008D37CF">
        <w:t xml:space="preserve">for </w:t>
      </w:r>
      <w:r w:rsidR="00DF7D6F">
        <w:t xml:space="preserve">UNISON’s </w:t>
      </w:r>
      <w:r w:rsidR="008D37CF">
        <w:t xml:space="preserve">TUPE Branch Guidance </w:t>
      </w:r>
      <w:r w:rsidRPr="00356873">
        <w:t>or contact UNISON for further advice</w:t>
      </w:r>
      <w:r>
        <w:t>.</w:t>
      </w:r>
    </w:p>
    <w:p w14:paraId="7C9FCC81" w14:textId="77777777" w:rsidR="007442E9" w:rsidRDefault="007442E9" w:rsidP="00726C89">
      <w:pPr>
        <w:ind w:left="426" w:hanging="426"/>
        <w:jc w:val="center"/>
        <w:rPr>
          <w:rFonts w:ascii="Arial" w:hAnsi="Arial" w:cs="Arial"/>
          <w:b/>
          <w:sz w:val="36"/>
          <w:szCs w:val="36"/>
        </w:rPr>
      </w:pPr>
    </w:p>
    <w:p w14:paraId="19755A11" w14:textId="77777777" w:rsidR="007442E9" w:rsidRDefault="007442E9" w:rsidP="00726C89">
      <w:pPr>
        <w:ind w:left="426" w:hanging="426"/>
        <w:jc w:val="center"/>
        <w:rPr>
          <w:rFonts w:ascii="Arial" w:hAnsi="Arial" w:cs="Arial"/>
          <w:b/>
          <w:sz w:val="36"/>
          <w:szCs w:val="36"/>
        </w:rPr>
      </w:pPr>
    </w:p>
    <w:p w14:paraId="460CF28D" w14:textId="77777777" w:rsidR="007442E9" w:rsidRDefault="007442E9" w:rsidP="00430166">
      <w:pPr>
        <w:jc w:val="center"/>
        <w:rPr>
          <w:rFonts w:ascii="Arial" w:hAnsi="Arial" w:cs="Arial"/>
          <w:b/>
          <w:sz w:val="36"/>
          <w:szCs w:val="36"/>
        </w:rPr>
      </w:pPr>
    </w:p>
    <w:p w14:paraId="79C1E3C9" w14:textId="77777777" w:rsidR="00CF4579" w:rsidRDefault="00CF4579" w:rsidP="00FC1C63">
      <w:pPr>
        <w:rPr>
          <w:rFonts w:ascii="Arial" w:hAnsi="Arial" w:cs="Arial"/>
          <w:b/>
          <w:sz w:val="36"/>
          <w:szCs w:val="36"/>
        </w:rPr>
      </w:pPr>
    </w:p>
    <w:p w14:paraId="1E4C8AAF" w14:textId="77777777" w:rsidR="00C14AE4" w:rsidRDefault="00C14AE4">
      <w:pPr>
        <w:jc w:val="center"/>
        <w:rPr>
          <w:rFonts w:ascii="Arial" w:hAnsi="Arial" w:cs="Arial"/>
          <w:b/>
          <w:sz w:val="36"/>
          <w:szCs w:val="36"/>
        </w:rPr>
      </w:pPr>
    </w:p>
    <w:p w14:paraId="79712E5E" w14:textId="77777777" w:rsidR="00C14AE4" w:rsidRDefault="00C14AE4">
      <w:pPr>
        <w:jc w:val="center"/>
        <w:rPr>
          <w:rFonts w:ascii="Arial" w:hAnsi="Arial" w:cs="Arial"/>
          <w:b/>
          <w:sz w:val="36"/>
          <w:szCs w:val="36"/>
        </w:rPr>
      </w:pPr>
    </w:p>
    <w:p w14:paraId="060CC157" w14:textId="77777777" w:rsidR="00C14AE4" w:rsidRDefault="00C14AE4">
      <w:pPr>
        <w:jc w:val="center"/>
        <w:rPr>
          <w:rFonts w:ascii="Arial" w:hAnsi="Arial" w:cs="Arial"/>
          <w:b/>
          <w:sz w:val="36"/>
          <w:szCs w:val="36"/>
        </w:rPr>
      </w:pPr>
    </w:p>
    <w:p w14:paraId="3261DD61" w14:textId="77777777" w:rsidR="00C14AE4" w:rsidRDefault="00C14AE4">
      <w:pPr>
        <w:jc w:val="center"/>
        <w:rPr>
          <w:rFonts w:ascii="Arial" w:hAnsi="Arial" w:cs="Arial"/>
          <w:b/>
          <w:sz w:val="36"/>
          <w:szCs w:val="36"/>
        </w:rPr>
      </w:pPr>
    </w:p>
    <w:p w14:paraId="6F76A39C" w14:textId="77777777" w:rsidR="00C14AE4" w:rsidRDefault="00C14AE4">
      <w:pPr>
        <w:jc w:val="center"/>
        <w:rPr>
          <w:rFonts w:ascii="Arial" w:hAnsi="Arial" w:cs="Arial"/>
          <w:b/>
          <w:sz w:val="36"/>
          <w:szCs w:val="36"/>
        </w:rPr>
      </w:pPr>
    </w:p>
    <w:p w14:paraId="356F7B8D" w14:textId="77777777" w:rsidR="00C14AE4" w:rsidRDefault="00C14AE4">
      <w:pPr>
        <w:jc w:val="center"/>
        <w:rPr>
          <w:rFonts w:ascii="Arial" w:hAnsi="Arial" w:cs="Arial"/>
          <w:b/>
          <w:sz w:val="36"/>
          <w:szCs w:val="36"/>
        </w:rPr>
      </w:pPr>
    </w:p>
    <w:p w14:paraId="10E3AF03" w14:textId="77777777" w:rsidR="00C14AE4" w:rsidRDefault="00C14AE4">
      <w:pPr>
        <w:jc w:val="center"/>
        <w:rPr>
          <w:rFonts w:ascii="Arial" w:hAnsi="Arial" w:cs="Arial"/>
          <w:b/>
          <w:sz w:val="36"/>
          <w:szCs w:val="36"/>
        </w:rPr>
      </w:pPr>
    </w:p>
    <w:p w14:paraId="09BDB0F4" w14:textId="77777777" w:rsidR="00C14AE4" w:rsidRDefault="00C14AE4">
      <w:pPr>
        <w:jc w:val="center"/>
        <w:rPr>
          <w:rFonts w:ascii="Arial" w:hAnsi="Arial" w:cs="Arial"/>
          <w:b/>
          <w:sz w:val="36"/>
          <w:szCs w:val="36"/>
        </w:rPr>
      </w:pPr>
    </w:p>
    <w:p w14:paraId="4D3A3038" w14:textId="77777777" w:rsidR="00C14AE4" w:rsidRDefault="00C14AE4">
      <w:pPr>
        <w:jc w:val="center"/>
        <w:rPr>
          <w:rFonts w:ascii="Arial" w:hAnsi="Arial" w:cs="Arial"/>
          <w:b/>
          <w:sz w:val="36"/>
          <w:szCs w:val="36"/>
        </w:rPr>
      </w:pPr>
    </w:p>
    <w:p w14:paraId="4C58BB4B" w14:textId="77777777" w:rsidR="00C14AE4" w:rsidRDefault="00C14AE4">
      <w:pPr>
        <w:jc w:val="center"/>
        <w:rPr>
          <w:rFonts w:ascii="Arial" w:hAnsi="Arial" w:cs="Arial"/>
          <w:b/>
          <w:sz w:val="36"/>
          <w:szCs w:val="36"/>
        </w:rPr>
      </w:pPr>
    </w:p>
    <w:p w14:paraId="03161C1E" w14:textId="77777777" w:rsidR="00C14AE4" w:rsidRDefault="00C14AE4">
      <w:pPr>
        <w:jc w:val="center"/>
        <w:rPr>
          <w:rFonts w:ascii="Arial" w:hAnsi="Arial" w:cs="Arial"/>
          <w:b/>
          <w:sz w:val="36"/>
          <w:szCs w:val="36"/>
        </w:rPr>
      </w:pPr>
    </w:p>
    <w:p w14:paraId="024165A5" w14:textId="77777777" w:rsidR="00C14AE4" w:rsidRDefault="00C14AE4">
      <w:pPr>
        <w:jc w:val="center"/>
        <w:rPr>
          <w:rFonts w:ascii="Arial" w:hAnsi="Arial" w:cs="Arial"/>
          <w:b/>
          <w:sz w:val="36"/>
          <w:szCs w:val="36"/>
        </w:rPr>
      </w:pPr>
    </w:p>
    <w:p w14:paraId="21E52E02" w14:textId="77777777" w:rsidR="00C14AE4" w:rsidRDefault="00C14AE4">
      <w:pPr>
        <w:jc w:val="center"/>
        <w:rPr>
          <w:rFonts w:ascii="Arial" w:hAnsi="Arial" w:cs="Arial"/>
          <w:b/>
          <w:sz w:val="36"/>
          <w:szCs w:val="36"/>
        </w:rPr>
      </w:pPr>
    </w:p>
    <w:p w14:paraId="7022BCA4" w14:textId="77777777" w:rsidR="00C14AE4" w:rsidRDefault="00C14AE4">
      <w:pPr>
        <w:jc w:val="center"/>
        <w:rPr>
          <w:rFonts w:ascii="Arial" w:hAnsi="Arial" w:cs="Arial"/>
          <w:b/>
          <w:sz w:val="36"/>
          <w:szCs w:val="36"/>
        </w:rPr>
      </w:pPr>
    </w:p>
    <w:p w14:paraId="7FABC16E" w14:textId="77777777" w:rsidR="00430166" w:rsidRDefault="00430166" w:rsidP="00611D39">
      <w:pPr>
        <w:autoSpaceDN w:val="0"/>
        <w:adjustRightInd w:val="0"/>
        <w:rPr>
          <w:rFonts w:ascii="Arial" w:hAnsi="Arial" w:cs="Arial"/>
          <w:sz w:val="23"/>
          <w:szCs w:val="23"/>
        </w:rPr>
      </w:pPr>
    </w:p>
    <w:sectPr w:rsidR="00430166" w:rsidSect="00A75FF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F476E" w14:textId="77777777" w:rsidR="00837CF1" w:rsidRDefault="00837CF1" w:rsidP="00611D39">
      <w:r>
        <w:separator/>
      </w:r>
    </w:p>
  </w:endnote>
  <w:endnote w:type="continuationSeparator" w:id="0">
    <w:p w14:paraId="2005A051" w14:textId="77777777" w:rsidR="00837CF1" w:rsidRDefault="00837CF1" w:rsidP="006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56AF" w14:textId="77777777" w:rsidR="00611D39" w:rsidRDefault="00611D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672"/>
      <w:docPartObj>
        <w:docPartGallery w:val="Page Numbers (Bottom of Page)"/>
        <w:docPartUnique/>
      </w:docPartObj>
    </w:sdtPr>
    <w:sdtEndPr/>
    <w:sdtContent>
      <w:p w14:paraId="7E78061B" w14:textId="77777777" w:rsidR="00611D39" w:rsidRDefault="00611D39">
        <w:pPr>
          <w:pStyle w:val="Footer"/>
          <w:jc w:val="center"/>
        </w:pPr>
        <w:r>
          <w:fldChar w:fldCharType="begin"/>
        </w:r>
        <w:r>
          <w:instrText xml:space="preserve"> PAGE   \* MERGEFORMAT </w:instrText>
        </w:r>
        <w:r>
          <w:fldChar w:fldCharType="separate"/>
        </w:r>
        <w:r w:rsidR="00D35DFB">
          <w:rPr>
            <w:noProof/>
          </w:rPr>
          <w:t>4</w:t>
        </w:r>
        <w:r>
          <w:fldChar w:fldCharType="end"/>
        </w:r>
      </w:p>
    </w:sdtContent>
  </w:sdt>
  <w:p w14:paraId="5D8F4360" w14:textId="77777777" w:rsidR="00611D39" w:rsidRDefault="00611D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0945" w14:textId="77777777" w:rsidR="00611D39" w:rsidRDefault="00611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F7AF" w14:textId="77777777" w:rsidR="00837CF1" w:rsidRDefault="00837CF1" w:rsidP="00611D39">
      <w:r>
        <w:separator/>
      </w:r>
    </w:p>
  </w:footnote>
  <w:footnote w:type="continuationSeparator" w:id="0">
    <w:p w14:paraId="624DBACE" w14:textId="77777777" w:rsidR="00837CF1" w:rsidRDefault="00837CF1" w:rsidP="00611D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020C" w14:textId="77777777" w:rsidR="00611D39" w:rsidRDefault="00611D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5641" w14:textId="77777777" w:rsidR="00611D39" w:rsidRDefault="00611D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0490" w14:textId="77777777" w:rsidR="00611D39" w:rsidRDefault="00611D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4448"/>
    <w:multiLevelType w:val="hybridMultilevel"/>
    <w:tmpl w:val="18140702"/>
    <w:lvl w:ilvl="0" w:tplc="F04672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DA1C1A"/>
    <w:multiLevelType w:val="hybridMultilevel"/>
    <w:tmpl w:val="2A069C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C7278"/>
    <w:multiLevelType w:val="hybridMultilevel"/>
    <w:tmpl w:val="88500C5C"/>
    <w:lvl w:ilvl="0" w:tplc="A090201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24A33C5D"/>
    <w:multiLevelType w:val="hybridMultilevel"/>
    <w:tmpl w:val="FD320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3D20F9"/>
    <w:multiLevelType w:val="hybridMultilevel"/>
    <w:tmpl w:val="FA9820F0"/>
    <w:lvl w:ilvl="0" w:tplc="EF2E7B56">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C33B7F"/>
    <w:multiLevelType w:val="hybridMultilevel"/>
    <w:tmpl w:val="909AF4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21AFC"/>
    <w:multiLevelType w:val="hybridMultilevel"/>
    <w:tmpl w:val="6818E694"/>
    <w:lvl w:ilvl="0" w:tplc="C212DA1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9861B9F"/>
    <w:multiLevelType w:val="hybridMultilevel"/>
    <w:tmpl w:val="13642F70"/>
    <w:lvl w:ilvl="0" w:tplc="7854B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8D00BDD"/>
    <w:multiLevelType w:val="hybridMultilevel"/>
    <w:tmpl w:val="B15A6B28"/>
    <w:lvl w:ilvl="0" w:tplc="A9DC011C">
      <w:start w:val="1"/>
      <w:numFmt w:val="lowerLetter"/>
      <w:lvlText w:val="(%1)"/>
      <w:lvlJc w:val="left"/>
      <w:pPr>
        <w:ind w:left="2358" w:hanging="360"/>
      </w:pPr>
      <w:rPr>
        <w:rFonts w:cs="Times New Roman" w:hint="default"/>
      </w:rPr>
    </w:lvl>
    <w:lvl w:ilvl="1" w:tplc="08090019">
      <w:start w:val="1"/>
      <w:numFmt w:val="lowerLetter"/>
      <w:lvlText w:val="%2."/>
      <w:lvlJc w:val="left"/>
      <w:pPr>
        <w:ind w:left="3078" w:hanging="360"/>
      </w:pPr>
      <w:rPr>
        <w:rFonts w:cs="Times New Roman"/>
      </w:rPr>
    </w:lvl>
    <w:lvl w:ilvl="2" w:tplc="0809001B" w:tentative="1">
      <w:start w:val="1"/>
      <w:numFmt w:val="lowerRoman"/>
      <w:lvlText w:val="%3."/>
      <w:lvlJc w:val="right"/>
      <w:pPr>
        <w:ind w:left="3798" w:hanging="180"/>
      </w:pPr>
      <w:rPr>
        <w:rFonts w:cs="Times New Roman"/>
      </w:rPr>
    </w:lvl>
    <w:lvl w:ilvl="3" w:tplc="0809000F" w:tentative="1">
      <w:start w:val="1"/>
      <w:numFmt w:val="decimal"/>
      <w:lvlText w:val="%4."/>
      <w:lvlJc w:val="left"/>
      <w:pPr>
        <w:ind w:left="4518" w:hanging="360"/>
      </w:pPr>
      <w:rPr>
        <w:rFonts w:cs="Times New Roman"/>
      </w:rPr>
    </w:lvl>
    <w:lvl w:ilvl="4" w:tplc="08090019" w:tentative="1">
      <w:start w:val="1"/>
      <w:numFmt w:val="lowerLetter"/>
      <w:lvlText w:val="%5."/>
      <w:lvlJc w:val="left"/>
      <w:pPr>
        <w:ind w:left="5238" w:hanging="360"/>
      </w:pPr>
      <w:rPr>
        <w:rFonts w:cs="Times New Roman"/>
      </w:rPr>
    </w:lvl>
    <w:lvl w:ilvl="5" w:tplc="0809001B" w:tentative="1">
      <w:start w:val="1"/>
      <w:numFmt w:val="lowerRoman"/>
      <w:lvlText w:val="%6."/>
      <w:lvlJc w:val="right"/>
      <w:pPr>
        <w:ind w:left="5958" w:hanging="180"/>
      </w:pPr>
      <w:rPr>
        <w:rFonts w:cs="Times New Roman"/>
      </w:rPr>
    </w:lvl>
    <w:lvl w:ilvl="6" w:tplc="0809000F" w:tentative="1">
      <w:start w:val="1"/>
      <w:numFmt w:val="decimal"/>
      <w:lvlText w:val="%7."/>
      <w:lvlJc w:val="left"/>
      <w:pPr>
        <w:ind w:left="6678" w:hanging="360"/>
      </w:pPr>
      <w:rPr>
        <w:rFonts w:cs="Times New Roman"/>
      </w:rPr>
    </w:lvl>
    <w:lvl w:ilvl="7" w:tplc="08090019" w:tentative="1">
      <w:start w:val="1"/>
      <w:numFmt w:val="lowerLetter"/>
      <w:lvlText w:val="%8."/>
      <w:lvlJc w:val="left"/>
      <w:pPr>
        <w:ind w:left="7398" w:hanging="360"/>
      </w:pPr>
      <w:rPr>
        <w:rFonts w:cs="Times New Roman"/>
      </w:rPr>
    </w:lvl>
    <w:lvl w:ilvl="8" w:tplc="0809001B" w:tentative="1">
      <w:start w:val="1"/>
      <w:numFmt w:val="lowerRoman"/>
      <w:lvlText w:val="%9."/>
      <w:lvlJc w:val="right"/>
      <w:pPr>
        <w:ind w:left="8118" w:hanging="180"/>
      </w:pPr>
      <w:rPr>
        <w:rFonts w:cs="Times New Roman"/>
      </w:rPr>
    </w:lvl>
  </w:abstractNum>
  <w:abstractNum w:abstractNumId="9">
    <w:nsid w:val="5FD65286"/>
    <w:multiLevelType w:val="hybridMultilevel"/>
    <w:tmpl w:val="A2B0B85A"/>
    <w:lvl w:ilvl="0" w:tplc="C212DA1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7"/>
  </w:num>
  <w:num w:numId="5">
    <w:abstractNumId w:val="3"/>
  </w:num>
  <w:num w:numId="6">
    <w:abstractNumId w:val="6"/>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66"/>
    <w:rsid w:val="000179CA"/>
    <w:rsid w:val="00025CCE"/>
    <w:rsid w:val="00026643"/>
    <w:rsid w:val="0003347C"/>
    <w:rsid w:val="00034D3B"/>
    <w:rsid w:val="00066A1E"/>
    <w:rsid w:val="00075A60"/>
    <w:rsid w:val="00082B65"/>
    <w:rsid w:val="000918DB"/>
    <w:rsid w:val="00094795"/>
    <w:rsid w:val="000A1513"/>
    <w:rsid w:val="000A7558"/>
    <w:rsid w:val="000B3A40"/>
    <w:rsid w:val="000B44B1"/>
    <w:rsid w:val="000C1550"/>
    <w:rsid w:val="000C3680"/>
    <w:rsid w:val="000C67CF"/>
    <w:rsid w:val="000D04A2"/>
    <w:rsid w:val="000D6EB3"/>
    <w:rsid w:val="000F553E"/>
    <w:rsid w:val="0011346D"/>
    <w:rsid w:val="001318A8"/>
    <w:rsid w:val="00140875"/>
    <w:rsid w:val="0014748C"/>
    <w:rsid w:val="0015443F"/>
    <w:rsid w:val="00164CE9"/>
    <w:rsid w:val="0017479A"/>
    <w:rsid w:val="00183CB4"/>
    <w:rsid w:val="0018423E"/>
    <w:rsid w:val="0018612C"/>
    <w:rsid w:val="001A6282"/>
    <w:rsid w:val="001D3A06"/>
    <w:rsid w:val="001D70E9"/>
    <w:rsid w:val="001E17C6"/>
    <w:rsid w:val="001F0F80"/>
    <w:rsid w:val="001F1837"/>
    <w:rsid w:val="001F1D6F"/>
    <w:rsid w:val="001F2420"/>
    <w:rsid w:val="00204783"/>
    <w:rsid w:val="0020683C"/>
    <w:rsid w:val="002111A1"/>
    <w:rsid w:val="00215A07"/>
    <w:rsid w:val="0021651C"/>
    <w:rsid w:val="00216B35"/>
    <w:rsid w:val="00222DA8"/>
    <w:rsid w:val="0025178F"/>
    <w:rsid w:val="00254E92"/>
    <w:rsid w:val="002616B3"/>
    <w:rsid w:val="00267045"/>
    <w:rsid w:val="00280010"/>
    <w:rsid w:val="002A33C5"/>
    <w:rsid w:val="002B4C03"/>
    <w:rsid w:val="002B674F"/>
    <w:rsid w:val="002D2695"/>
    <w:rsid w:val="002F12D1"/>
    <w:rsid w:val="00305804"/>
    <w:rsid w:val="00330229"/>
    <w:rsid w:val="00346BCC"/>
    <w:rsid w:val="00353D6E"/>
    <w:rsid w:val="003553EB"/>
    <w:rsid w:val="00356873"/>
    <w:rsid w:val="0037702B"/>
    <w:rsid w:val="0038524E"/>
    <w:rsid w:val="003A20E6"/>
    <w:rsid w:val="003B3413"/>
    <w:rsid w:val="003B5336"/>
    <w:rsid w:val="003B5A26"/>
    <w:rsid w:val="003C1B8A"/>
    <w:rsid w:val="003C35A1"/>
    <w:rsid w:val="003C3EAB"/>
    <w:rsid w:val="003C3FE7"/>
    <w:rsid w:val="003D0A50"/>
    <w:rsid w:val="003E0E1E"/>
    <w:rsid w:val="004004B7"/>
    <w:rsid w:val="0040337C"/>
    <w:rsid w:val="00416931"/>
    <w:rsid w:val="00430166"/>
    <w:rsid w:val="00437893"/>
    <w:rsid w:val="00451006"/>
    <w:rsid w:val="00455F56"/>
    <w:rsid w:val="004565BB"/>
    <w:rsid w:val="00460B85"/>
    <w:rsid w:val="004721EC"/>
    <w:rsid w:val="004A271B"/>
    <w:rsid w:val="004A713B"/>
    <w:rsid w:val="004E265F"/>
    <w:rsid w:val="004E5899"/>
    <w:rsid w:val="00515F5A"/>
    <w:rsid w:val="0053176A"/>
    <w:rsid w:val="00535725"/>
    <w:rsid w:val="00544F1B"/>
    <w:rsid w:val="00545A60"/>
    <w:rsid w:val="00546F21"/>
    <w:rsid w:val="005519FA"/>
    <w:rsid w:val="00561CC8"/>
    <w:rsid w:val="005657A1"/>
    <w:rsid w:val="0056649F"/>
    <w:rsid w:val="0057702E"/>
    <w:rsid w:val="00582730"/>
    <w:rsid w:val="00583864"/>
    <w:rsid w:val="005911B3"/>
    <w:rsid w:val="005A6A61"/>
    <w:rsid w:val="005B3B9B"/>
    <w:rsid w:val="005C1523"/>
    <w:rsid w:val="005C3F5A"/>
    <w:rsid w:val="005D39E3"/>
    <w:rsid w:val="005F1E38"/>
    <w:rsid w:val="005F336E"/>
    <w:rsid w:val="006071E3"/>
    <w:rsid w:val="00611D39"/>
    <w:rsid w:val="006127CB"/>
    <w:rsid w:val="006218DC"/>
    <w:rsid w:val="00621AE1"/>
    <w:rsid w:val="00622C99"/>
    <w:rsid w:val="0063276D"/>
    <w:rsid w:val="006355FB"/>
    <w:rsid w:val="00641D80"/>
    <w:rsid w:val="006454D1"/>
    <w:rsid w:val="00651AEB"/>
    <w:rsid w:val="00662E62"/>
    <w:rsid w:val="006707E9"/>
    <w:rsid w:val="00687B92"/>
    <w:rsid w:val="006900A3"/>
    <w:rsid w:val="0069114F"/>
    <w:rsid w:val="006C5956"/>
    <w:rsid w:val="006E1ABB"/>
    <w:rsid w:val="006E7D8E"/>
    <w:rsid w:val="006F75A7"/>
    <w:rsid w:val="00726C89"/>
    <w:rsid w:val="00726F9D"/>
    <w:rsid w:val="007307EB"/>
    <w:rsid w:val="007317FA"/>
    <w:rsid w:val="00732D7C"/>
    <w:rsid w:val="00735270"/>
    <w:rsid w:val="007435A1"/>
    <w:rsid w:val="007442E9"/>
    <w:rsid w:val="0075525F"/>
    <w:rsid w:val="007601F6"/>
    <w:rsid w:val="00760D4D"/>
    <w:rsid w:val="00763059"/>
    <w:rsid w:val="00776B4E"/>
    <w:rsid w:val="007775DA"/>
    <w:rsid w:val="00780829"/>
    <w:rsid w:val="00784084"/>
    <w:rsid w:val="007A0E66"/>
    <w:rsid w:val="007A1B07"/>
    <w:rsid w:val="007C022A"/>
    <w:rsid w:val="007D0C3A"/>
    <w:rsid w:val="007D0FFA"/>
    <w:rsid w:val="007E586C"/>
    <w:rsid w:val="007F7CCA"/>
    <w:rsid w:val="00803516"/>
    <w:rsid w:val="00812D42"/>
    <w:rsid w:val="00817A17"/>
    <w:rsid w:val="00836732"/>
    <w:rsid w:val="00837615"/>
    <w:rsid w:val="00837CF1"/>
    <w:rsid w:val="00853E00"/>
    <w:rsid w:val="0085722D"/>
    <w:rsid w:val="00870A3D"/>
    <w:rsid w:val="00873ACF"/>
    <w:rsid w:val="00886ED4"/>
    <w:rsid w:val="0089422B"/>
    <w:rsid w:val="008A0155"/>
    <w:rsid w:val="008A39DB"/>
    <w:rsid w:val="008B2681"/>
    <w:rsid w:val="008B380F"/>
    <w:rsid w:val="008D2854"/>
    <w:rsid w:val="008D37CF"/>
    <w:rsid w:val="008D5507"/>
    <w:rsid w:val="008E5D5D"/>
    <w:rsid w:val="008E7A0E"/>
    <w:rsid w:val="008F7908"/>
    <w:rsid w:val="00902D3E"/>
    <w:rsid w:val="009169A4"/>
    <w:rsid w:val="00920DBD"/>
    <w:rsid w:val="00921DC7"/>
    <w:rsid w:val="0092660D"/>
    <w:rsid w:val="0093049C"/>
    <w:rsid w:val="00935423"/>
    <w:rsid w:val="00935792"/>
    <w:rsid w:val="00937444"/>
    <w:rsid w:val="0094684A"/>
    <w:rsid w:val="0094784E"/>
    <w:rsid w:val="00950179"/>
    <w:rsid w:val="00957B67"/>
    <w:rsid w:val="00957CCA"/>
    <w:rsid w:val="00962E44"/>
    <w:rsid w:val="0097470F"/>
    <w:rsid w:val="00984F98"/>
    <w:rsid w:val="009939B3"/>
    <w:rsid w:val="009A4D52"/>
    <w:rsid w:val="009C0E82"/>
    <w:rsid w:val="009C525A"/>
    <w:rsid w:val="009F088A"/>
    <w:rsid w:val="009F4CFF"/>
    <w:rsid w:val="00A01B7F"/>
    <w:rsid w:val="00A16905"/>
    <w:rsid w:val="00A33BBD"/>
    <w:rsid w:val="00A42424"/>
    <w:rsid w:val="00A4416D"/>
    <w:rsid w:val="00A56842"/>
    <w:rsid w:val="00A576BD"/>
    <w:rsid w:val="00A66777"/>
    <w:rsid w:val="00A706E0"/>
    <w:rsid w:val="00A74B86"/>
    <w:rsid w:val="00A75FFF"/>
    <w:rsid w:val="00AA18E2"/>
    <w:rsid w:val="00AA44EA"/>
    <w:rsid w:val="00AB1BC1"/>
    <w:rsid w:val="00AB6B75"/>
    <w:rsid w:val="00AC5869"/>
    <w:rsid w:val="00AC68E4"/>
    <w:rsid w:val="00AC7077"/>
    <w:rsid w:val="00AD1BA2"/>
    <w:rsid w:val="00AD34D6"/>
    <w:rsid w:val="00AD7C78"/>
    <w:rsid w:val="00AE1F57"/>
    <w:rsid w:val="00AE239C"/>
    <w:rsid w:val="00AE275D"/>
    <w:rsid w:val="00AE6DE3"/>
    <w:rsid w:val="00AF4FC9"/>
    <w:rsid w:val="00B03B58"/>
    <w:rsid w:val="00B10CF2"/>
    <w:rsid w:val="00B201B5"/>
    <w:rsid w:val="00B32870"/>
    <w:rsid w:val="00B35A17"/>
    <w:rsid w:val="00B401ED"/>
    <w:rsid w:val="00B50378"/>
    <w:rsid w:val="00B52F8C"/>
    <w:rsid w:val="00B56ABF"/>
    <w:rsid w:val="00B63939"/>
    <w:rsid w:val="00B6458A"/>
    <w:rsid w:val="00B8213C"/>
    <w:rsid w:val="00B9115E"/>
    <w:rsid w:val="00B91CDA"/>
    <w:rsid w:val="00BA1FA4"/>
    <w:rsid w:val="00BA51C1"/>
    <w:rsid w:val="00BC5DB5"/>
    <w:rsid w:val="00BD4450"/>
    <w:rsid w:val="00BE0905"/>
    <w:rsid w:val="00BE5F79"/>
    <w:rsid w:val="00BE6355"/>
    <w:rsid w:val="00BF1539"/>
    <w:rsid w:val="00C14AE4"/>
    <w:rsid w:val="00C424BF"/>
    <w:rsid w:val="00C7227F"/>
    <w:rsid w:val="00C73814"/>
    <w:rsid w:val="00C757F5"/>
    <w:rsid w:val="00C85261"/>
    <w:rsid w:val="00C96C16"/>
    <w:rsid w:val="00CC38C7"/>
    <w:rsid w:val="00CC60FC"/>
    <w:rsid w:val="00CC6D5F"/>
    <w:rsid w:val="00CD4F00"/>
    <w:rsid w:val="00CF4579"/>
    <w:rsid w:val="00D00F34"/>
    <w:rsid w:val="00D02B74"/>
    <w:rsid w:val="00D12A3D"/>
    <w:rsid w:val="00D15E7E"/>
    <w:rsid w:val="00D15F91"/>
    <w:rsid w:val="00D35DFB"/>
    <w:rsid w:val="00D42979"/>
    <w:rsid w:val="00D46E48"/>
    <w:rsid w:val="00D610D5"/>
    <w:rsid w:val="00D66DD4"/>
    <w:rsid w:val="00D707EC"/>
    <w:rsid w:val="00D7163B"/>
    <w:rsid w:val="00D75B0D"/>
    <w:rsid w:val="00DB4E56"/>
    <w:rsid w:val="00DC1631"/>
    <w:rsid w:val="00DD1358"/>
    <w:rsid w:val="00DE48A3"/>
    <w:rsid w:val="00DE7CC5"/>
    <w:rsid w:val="00DF417C"/>
    <w:rsid w:val="00DF5A45"/>
    <w:rsid w:val="00DF7D6F"/>
    <w:rsid w:val="00E07B41"/>
    <w:rsid w:val="00E07E2F"/>
    <w:rsid w:val="00E107BE"/>
    <w:rsid w:val="00E15562"/>
    <w:rsid w:val="00E62C29"/>
    <w:rsid w:val="00E6437C"/>
    <w:rsid w:val="00E676B8"/>
    <w:rsid w:val="00E85471"/>
    <w:rsid w:val="00E87FAC"/>
    <w:rsid w:val="00E909F9"/>
    <w:rsid w:val="00E96425"/>
    <w:rsid w:val="00EA1911"/>
    <w:rsid w:val="00EA2078"/>
    <w:rsid w:val="00EA4995"/>
    <w:rsid w:val="00EA5605"/>
    <w:rsid w:val="00EB1494"/>
    <w:rsid w:val="00EF282A"/>
    <w:rsid w:val="00EF2D2C"/>
    <w:rsid w:val="00F063BF"/>
    <w:rsid w:val="00F11513"/>
    <w:rsid w:val="00F11E3A"/>
    <w:rsid w:val="00F14ABD"/>
    <w:rsid w:val="00F2051E"/>
    <w:rsid w:val="00F21A35"/>
    <w:rsid w:val="00F31955"/>
    <w:rsid w:val="00F32AD9"/>
    <w:rsid w:val="00F40207"/>
    <w:rsid w:val="00F44918"/>
    <w:rsid w:val="00F4673A"/>
    <w:rsid w:val="00F54564"/>
    <w:rsid w:val="00F6116F"/>
    <w:rsid w:val="00F71195"/>
    <w:rsid w:val="00F7241D"/>
    <w:rsid w:val="00F7349E"/>
    <w:rsid w:val="00F80F42"/>
    <w:rsid w:val="00F84B7B"/>
    <w:rsid w:val="00F85BF5"/>
    <w:rsid w:val="00F90423"/>
    <w:rsid w:val="00F90A4C"/>
    <w:rsid w:val="00F92D86"/>
    <w:rsid w:val="00F9460F"/>
    <w:rsid w:val="00FA618F"/>
    <w:rsid w:val="00FC1C63"/>
    <w:rsid w:val="00FC40A5"/>
    <w:rsid w:val="00FC4232"/>
    <w:rsid w:val="00FE494A"/>
    <w:rsid w:val="00FF0804"/>
    <w:rsid w:val="00FF0F25"/>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7FD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66"/>
    <w:pPr>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0166"/>
    <w:rPr>
      <w:color w:val="0000FF"/>
      <w:u w:val="single"/>
    </w:rPr>
  </w:style>
  <w:style w:type="paragraph" w:styleId="ListParagraph">
    <w:name w:val="List Paragraph"/>
    <w:basedOn w:val="Normal"/>
    <w:uiPriority w:val="34"/>
    <w:qFormat/>
    <w:rsid w:val="00921DC7"/>
    <w:pPr>
      <w:spacing w:after="200" w:line="276" w:lineRule="auto"/>
      <w:ind w:left="720"/>
      <w:contextualSpacing/>
    </w:pPr>
    <w:rPr>
      <w:rFonts w:ascii="Arial" w:eastAsia="Calibri" w:hAnsi="Arial" w:cs="Arial"/>
      <w:sz w:val="22"/>
      <w:szCs w:val="22"/>
      <w:lang w:eastAsia="en-US"/>
    </w:rPr>
  </w:style>
  <w:style w:type="paragraph" w:styleId="BalloonText">
    <w:name w:val="Balloon Text"/>
    <w:basedOn w:val="Normal"/>
    <w:link w:val="BalloonTextChar"/>
    <w:uiPriority w:val="99"/>
    <w:semiHidden/>
    <w:unhideWhenUsed/>
    <w:rsid w:val="00921DC7"/>
    <w:rPr>
      <w:rFonts w:ascii="Tahoma" w:hAnsi="Tahoma" w:cs="Tahoma"/>
      <w:sz w:val="16"/>
      <w:szCs w:val="16"/>
    </w:rPr>
  </w:style>
  <w:style w:type="character" w:customStyle="1" w:styleId="BalloonTextChar">
    <w:name w:val="Balloon Text Char"/>
    <w:basedOn w:val="DefaultParagraphFont"/>
    <w:link w:val="BalloonText"/>
    <w:uiPriority w:val="99"/>
    <w:semiHidden/>
    <w:rsid w:val="00921DC7"/>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D37CF"/>
    <w:rPr>
      <w:color w:val="800080" w:themeColor="followedHyperlink"/>
      <w:u w:val="single"/>
    </w:rPr>
  </w:style>
  <w:style w:type="paragraph" w:styleId="Footer">
    <w:name w:val="footer"/>
    <w:basedOn w:val="Normal"/>
    <w:link w:val="FooterChar"/>
    <w:uiPriority w:val="99"/>
    <w:unhideWhenUsed/>
    <w:rsid w:val="00902D3E"/>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902D3E"/>
    <w:rPr>
      <w:rFonts w:ascii="Arial" w:hAnsi="Arial" w:cs="Arial"/>
      <w:sz w:val="22"/>
    </w:rPr>
  </w:style>
  <w:style w:type="character" w:styleId="CommentReference">
    <w:name w:val="annotation reference"/>
    <w:basedOn w:val="DefaultParagraphFont"/>
    <w:uiPriority w:val="99"/>
    <w:semiHidden/>
    <w:unhideWhenUsed/>
    <w:rsid w:val="00544F1B"/>
    <w:rPr>
      <w:sz w:val="16"/>
      <w:szCs w:val="16"/>
    </w:rPr>
  </w:style>
  <w:style w:type="paragraph" w:styleId="CommentText">
    <w:name w:val="annotation text"/>
    <w:basedOn w:val="Normal"/>
    <w:link w:val="CommentTextChar"/>
    <w:uiPriority w:val="99"/>
    <w:semiHidden/>
    <w:unhideWhenUsed/>
    <w:rsid w:val="00544F1B"/>
    <w:rPr>
      <w:sz w:val="20"/>
      <w:szCs w:val="20"/>
    </w:rPr>
  </w:style>
  <w:style w:type="character" w:customStyle="1" w:styleId="CommentTextChar">
    <w:name w:val="Comment Text Char"/>
    <w:basedOn w:val="DefaultParagraphFont"/>
    <w:link w:val="CommentText"/>
    <w:uiPriority w:val="99"/>
    <w:semiHidden/>
    <w:rsid w:val="00544F1B"/>
    <w:rPr>
      <w:rFonts w:ascii="Times New Roman" w:eastAsia="Times New Roman" w:hAnsi="Times New Roman"/>
      <w:szCs w:val="20"/>
      <w:lang w:eastAsia="en-GB"/>
    </w:rPr>
  </w:style>
  <w:style w:type="paragraph" w:styleId="CommentSubject">
    <w:name w:val="annotation subject"/>
    <w:basedOn w:val="CommentText"/>
    <w:next w:val="CommentText"/>
    <w:link w:val="CommentSubjectChar"/>
    <w:uiPriority w:val="99"/>
    <w:semiHidden/>
    <w:unhideWhenUsed/>
    <w:rsid w:val="00544F1B"/>
    <w:rPr>
      <w:b/>
      <w:bCs/>
    </w:rPr>
  </w:style>
  <w:style w:type="character" w:customStyle="1" w:styleId="CommentSubjectChar">
    <w:name w:val="Comment Subject Char"/>
    <w:basedOn w:val="CommentTextChar"/>
    <w:link w:val="CommentSubject"/>
    <w:uiPriority w:val="99"/>
    <w:semiHidden/>
    <w:rsid w:val="00544F1B"/>
    <w:rPr>
      <w:rFonts w:ascii="Times New Roman" w:eastAsia="Times New Roman" w:hAnsi="Times New Roman"/>
      <w:b/>
      <w:bCs/>
      <w:szCs w:val="20"/>
      <w:lang w:eastAsia="en-GB"/>
    </w:rPr>
  </w:style>
  <w:style w:type="paragraph" w:styleId="Header">
    <w:name w:val="header"/>
    <w:basedOn w:val="Normal"/>
    <w:link w:val="HeaderChar"/>
    <w:uiPriority w:val="99"/>
    <w:unhideWhenUsed/>
    <w:rsid w:val="00611D39"/>
    <w:pPr>
      <w:tabs>
        <w:tab w:val="center" w:pos="4513"/>
        <w:tab w:val="right" w:pos="9026"/>
      </w:tabs>
    </w:pPr>
  </w:style>
  <w:style w:type="character" w:customStyle="1" w:styleId="HeaderChar">
    <w:name w:val="Header Char"/>
    <w:basedOn w:val="DefaultParagraphFont"/>
    <w:link w:val="Header"/>
    <w:uiPriority w:val="99"/>
    <w:rsid w:val="00611D39"/>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legislation.gov.uk/uksi/2014/16/contents/made" TargetMode="External"/><Relationship Id="rId14" Type="http://schemas.openxmlformats.org/officeDocument/2006/relationships/hyperlink" Target="https://www.unison.org.uk/catalogue/22317"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F323614C2B24781989715C191177A" ma:contentTypeVersion="9" ma:contentTypeDescription="Create a new document." ma:contentTypeScope="" ma:versionID="4f970e3567dce1d3311394e40ee94ca6">
  <xsd:schema xmlns:xsd="http://www.w3.org/2001/XMLSchema" xmlns:p="http://schemas.microsoft.com/office/2006/metadata/properties" xmlns:ns2="6e86cc80-d06d-4e8f-b8eb-114dcfb506da" targetNamespace="http://schemas.microsoft.com/office/2006/metadata/properties" ma:root="true" ma:fieldsID="c0ea2e028b84471b35b565bb3471f9e7"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9D6B-0D98-42E3-85AB-209938D980EC}">
  <ds:schemaRefs>
    <ds:schemaRef ds:uri="http://schemas.microsoft.com/sharepoint/events"/>
  </ds:schemaRefs>
</ds:datastoreItem>
</file>

<file path=customXml/itemProps2.xml><?xml version="1.0" encoding="utf-8"?>
<ds:datastoreItem xmlns:ds="http://schemas.openxmlformats.org/officeDocument/2006/customXml" ds:itemID="{8BA8646D-BDF5-47EC-87F0-62AA3E03B7B3}">
  <ds:schemaRefs>
    <ds:schemaRef ds:uri="http://schemas.microsoft.com/sharepoint/v3/contenttype/forms"/>
  </ds:schemaRefs>
</ds:datastoreItem>
</file>

<file path=customXml/itemProps3.xml><?xml version="1.0" encoding="utf-8"?>
<ds:datastoreItem xmlns:ds="http://schemas.openxmlformats.org/officeDocument/2006/customXml" ds:itemID="{3DFDDA39-61CF-4860-AD23-EC161426CE78}">
  <ds:schemaRefs>
    <ds:schemaRef ds:uri="http://schemas.microsoft.com/office/2006/metadata/properties"/>
  </ds:schemaRefs>
</ds:datastoreItem>
</file>

<file path=customXml/itemProps4.xml><?xml version="1.0" encoding="utf-8"?>
<ds:datastoreItem xmlns:ds="http://schemas.openxmlformats.org/officeDocument/2006/customXml" ds:itemID="{3265F8AA-4296-4D79-9DC3-CD1AD2B6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D8F6FE8-B5DB-7D44-BD80-4984658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2109</Words>
  <Characters>12027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attachment for Academy letters</vt:lpstr>
    </vt:vector>
  </TitlesOfParts>
  <Company>UNISON</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for Academy letters</dc:title>
  <dc:creator>NONE</dc:creator>
  <cp:lastModifiedBy>Matthew Smith</cp:lastModifiedBy>
  <cp:revision>2</cp:revision>
  <dcterms:created xsi:type="dcterms:W3CDTF">2016-03-04T15:52:00Z</dcterms:created>
  <dcterms:modified xsi:type="dcterms:W3CDTF">2016-03-04T15:52:00Z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0x010100F76F323614C2B24781989715C191177A</vt:lpwstr>
  </property>
  <property fmtid="{D5CDD505-2E9C-101B-9397-08002B2CF9AE}" pid="3" name="Order">
    <vt:r8>29400</vt:r8>
  </property>
</Properties>
</file>