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90298" w14:textId="215FEB48" w:rsidR="002C094B" w:rsidRPr="00C222CB" w:rsidRDefault="00901A69" w:rsidP="0095588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>Youth services at breaking point</w:t>
      </w:r>
    </w:p>
    <w:p w14:paraId="78954447" w14:textId="77777777" w:rsidR="002C094B" w:rsidRPr="00C222CB" w:rsidRDefault="002C094B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>Introduction</w:t>
      </w:r>
    </w:p>
    <w:p w14:paraId="11694770" w14:textId="52C24135" w:rsidR="002C094B" w:rsidRPr="00C222CB" w:rsidRDefault="002C094B" w:rsidP="002C09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 xml:space="preserve">Youth services </w:t>
      </w:r>
      <w:r w:rsidR="00C222CB">
        <w:rPr>
          <w:rFonts w:asciiTheme="majorHAnsi" w:hAnsiTheme="majorHAnsi" w:cs="Arial"/>
          <w:sz w:val="24"/>
          <w:szCs w:val="24"/>
        </w:rPr>
        <w:t>are</w:t>
      </w:r>
      <w:r w:rsidRPr="00C222CB">
        <w:rPr>
          <w:rFonts w:asciiTheme="majorHAnsi" w:hAnsiTheme="majorHAnsi" w:cs="Arial"/>
          <w:sz w:val="24"/>
          <w:szCs w:val="24"/>
        </w:rPr>
        <w:t xml:space="preserve"> crucial </w:t>
      </w:r>
      <w:r w:rsidR="00C222CB">
        <w:rPr>
          <w:rFonts w:asciiTheme="majorHAnsi" w:hAnsiTheme="majorHAnsi" w:cs="Arial"/>
          <w:sz w:val="24"/>
          <w:szCs w:val="24"/>
        </w:rPr>
        <w:t>to</w:t>
      </w:r>
      <w:r w:rsidRPr="00C222CB">
        <w:rPr>
          <w:rFonts w:asciiTheme="majorHAnsi" w:hAnsiTheme="majorHAnsi" w:cs="Arial"/>
          <w:sz w:val="24"/>
          <w:szCs w:val="24"/>
        </w:rPr>
        <w:t xml:space="preserve"> </w:t>
      </w:r>
      <w:r w:rsidR="00C222CB">
        <w:rPr>
          <w:rFonts w:asciiTheme="majorHAnsi" w:hAnsiTheme="majorHAnsi" w:cs="Arial"/>
          <w:sz w:val="24"/>
          <w:szCs w:val="24"/>
        </w:rPr>
        <w:t>communities</w:t>
      </w:r>
      <w:r w:rsidR="006D1081">
        <w:rPr>
          <w:rFonts w:asciiTheme="majorHAnsi" w:hAnsiTheme="majorHAnsi" w:cs="Arial"/>
          <w:sz w:val="24"/>
          <w:szCs w:val="24"/>
        </w:rPr>
        <w:t xml:space="preserve"> across the UK</w:t>
      </w:r>
      <w:r w:rsidR="00C222CB">
        <w:rPr>
          <w:rFonts w:asciiTheme="majorHAnsi" w:hAnsiTheme="majorHAnsi" w:cs="Arial"/>
          <w:sz w:val="24"/>
          <w:szCs w:val="24"/>
        </w:rPr>
        <w:t xml:space="preserve">. </w:t>
      </w:r>
      <w:r w:rsidRPr="00C222CB">
        <w:rPr>
          <w:rFonts w:asciiTheme="majorHAnsi" w:hAnsiTheme="majorHAnsi" w:cs="Arial"/>
          <w:sz w:val="24"/>
          <w:szCs w:val="24"/>
        </w:rPr>
        <w:t xml:space="preserve">By building </w:t>
      </w:r>
      <w:r w:rsidR="00C222CB">
        <w:rPr>
          <w:rFonts w:asciiTheme="majorHAnsi" w:hAnsiTheme="majorHAnsi" w:cs="Arial"/>
          <w:sz w:val="24"/>
          <w:szCs w:val="24"/>
        </w:rPr>
        <w:t xml:space="preserve">trusting and supportive </w:t>
      </w:r>
      <w:r w:rsidRPr="00C222CB">
        <w:rPr>
          <w:rFonts w:asciiTheme="majorHAnsi" w:hAnsiTheme="majorHAnsi" w:cs="Arial"/>
          <w:sz w:val="24"/>
          <w:szCs w:val="24"/>
        </w:rPr>
        <w:t>relationships</w:t>
      </w:r>
      <w:r w:rsidR="006D1081">
        <w:rPr>
          <w:rFonts w:asciiTheme="majorHAnsi" w:hAnsiTheme="majorHAnsi" w:cs="Arial"/>
          <w:sz w:val="24"/>
          <w:szCs w:val="24"/>
        </w:rPr>
        <w:t xml:space="preserve"> with young people</w:t>
      </w:r>
      <w:r w:rsidRPr="00C222CB">
        <w:rPr>
          <w:rFonts w:asciiTheme="majorHAnsi" w:hAnsiTheme="majorHAnsi" w:cs="Arial"/>
          <w:sz w:val="24"/>
          <w:szCs w:val="24"/>
        </w:rPr>
        <w:t>, helping them make decisions about their lives, and developing their confidence and resilience, youth workers</w:t>
      </w:r>
      <w:r w:rsidR="00C222CB">
        <w:rPr>
          <w:rFonts w:asciiTheme="majorHAnsi" w:hAnsiTheme="majorHAnsi" w:cs="Arial"/>
          <w:sz w:val="24"/>
          <w:szCs w:val="24"/>
        </w:rPr>
        <w:t xml:space="preserve"> and </w:t>
      </w:r>
      <w:r w:rsidR="006D1081">
        <w:rPr>
          <w:rFonts w:asciiTheme="majorHAnsi" w:hAnsiTheme="majorHAnsi" w:cs="Arial"/>
          <w:sz w:val="24"/>
          <w:szCs w:val="24"/>
        </w:rPr>
        <w:t xml:space="preserve">youth </w:t>
      </w:r>
      <w:r w:rsidR="00C222CB">
        <w:rPr>
          <w:rFonts w:asciiTheme="majorHAnsi" w:hAnsiTheme="majorHAnsi" w:cs="Arial"/>
          <w:sz w:val="24"/>
          <w:szCs w:val="24"/>
        </w:rPr>
        <w:t>support workers</w:t>
      </w:r>
      <w:r w:rsidRPr="00C222CB">
        <w:rPr>
          <w:rFonts w:asciiTheme="majorHAnsi" w:hAnsiTheme="majorHAnsi" w:cs="Arial"/>
          <w:sz w:val="24"/>
          <w:szCs w:val="24"/>
        </w:rPr>
        <w:t xml:space="preserve"> </w:t>
      </w:r>
      <w:r w:rsidR="006D1081">
        <w:rPr>
          <w:rFonts w:asciiTheme="majorHAnsi" w:hAnsiTheme="majorHAnsi" w:cs="Arial"/>
          <w:sz w:val="24"/>
          <w:szCs w:val="24"/>
        </w:rPr>
        <w:t>are</w:t>
      </w:r>
      <w:r w:rsidRPr="00C222CB">
        <w:rPr>
          <w:rFonts w:asciiTheme="majorHAnsi" w:hAnsiTheme="majorHAnsi" w:cs="Arial"/>
          <w:sz w:val="24"/>
          <w:szCs w:val="24"/>
        </w:rPr>
        <w:t xml:space="preserve"> invaluable </w:t>
      </w:r>
      <w:r w:rsidR="00C222CB">
        <w:rPr>
          <w:rFonts w:asciiTheme="majorHAnsi" w:hAnsiTheme="majorHAnsi" w:cs="Arial"/>
          <w:sz w:val="24"/>
          <w:szCs w:val="24"/>
        </w:rPr>
        <w:t>in</w:t>
      </w:r>
      <w:r w:rsidRPr="00C222CB">
        <w:rPr>
          <w:rFonts w:asciiTheme="majorHAnsi" w:hAnsiTheme="majorHAnsi" w:cs="Arial"/>
          <w:sz w:val="24"/>
          <w:szCs w:val="24"/>
        </w:rPr>
        <w:t xml:space="preserve"> ensuring </w:t>
      </w:r>
      <w:r w:rsidR="00C222CB">
        <w:rPr>
          <w:rFonts w:asciiTheme="majorHAnsi" w:hAnsiTheme="majorHAnsi" w:cs="Arial"/>
          <w:sz w:val="24"/>
          <w:szCs w:val="24"/>
        </w:rPr>
        <w:t xml:space="preserve">young people </w:t>
      </w:r>
      <w:r w:rsidR="00964289">
        <w:rPr>
          <w:rFonts w:asciiTheme="majorHAnsi" w:hAnsiTheme="majorHAnsi" w:cs="Arial"/>
          <w:sz w:val="24"/>
          <w:szCs w:val="24"/>
        </w:rPr>
        <w:t xml:space="preserve">can play </w:t>
      </w:r>
      <w:r w:rsidR="00C222CB">
        <w:rPr>
          <w:rFonts w:asciiTheme="majorHAnsi" w:hAnsiTheme="majorHAnsi" w:cs="Arial"/>
          <w:sz w:val="24"/>
          <w:szCs w:val="24"/>
        </w:rPr>
        <w:t>a positive role</w:t>
      </w:r>
      <w:r w:rsidRPr="00C222CB">
        <w:rPr>
          <w:rFonts w:asciiTheme="majorHAnsi" w:hAnsiTheme="majorHAnsi" w:cs="Arial"/>
          <w:sz w:val="24"/>
          <w:szCs w:val="24"/>
        </w:rPr>
        <w:t xml:space="preserve"> in society.</w:t>
      </w:r>
    </w:p>
    <w:p w14:paraId="0EE6600B" w14:textId="77777777" w:rsidR="002C094B" w:rsidRPr="00C222CB" w:rsidRDefault="002C094B" w:rsidP="002C09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6FF3CFF" w14:textId="65B0ED66" w:rsidR="002C094B" w:rsidRPr="00C222CB" w:rsidRDefault="006D1081" w:rsidP="002C094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These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 services also prevent a variety of problems </w:t>
      </w:r>
      <w:r w:rsidR="00C222CB">
        <w:rPr>
          <w:rFonts w:asciiTheme="majorHAnsi" w:hAnsiTheme="majorHAnsi" w:cs="Arial"/>
          <w:sz w:val="24"/>
          <w:szCs w:val="24"/>
        </w:rPr>
        <w:t xml:space="preserve">occurring </w:t>
      </w:r>
      <w:r w:rsidR="00964289">
        <w:rPr>
          <w:rFonts w:asciiTheme="majorHAnsi" w:hAnsiTheme="majorHAnsi" w:cs="Arial"/>
          <w:sz w:val="24"/>
          <w:szCs w:val="24"/>
        </w:rPr>
        <w:t xml:space="preserve">further down the line, which </w:t>
      </w:r>
      <w:r w:rsidR="002C094B" w:rsidRPr="00C222CB">
        <w:rPr>
          <w:rFonts w:asciiTheme="majorHAnsi" w:hAnsiTheme="majorHAnsi" w:cs="Arial"/>
          <w:sz w:val="24"/>
          <w:szCs w:val="24"/>
        </w:rPr>
        <w:t>save</w:t>
      </w:r>
      <w:r>
        <w:rPr>
          <w:rFonts w:asciiTheme="majorHAnsi" w:hAnsiTheme="majorHAnsi" w:cs="Arial"/>
          <w:sz w:val="24"/>
          <w:szCs w:val="24"/>
        </w:rPr>
        <w:t>s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 other parts of the public sector </w:t>
      </w:r>
      <w:r w:rsidR="00964289">
        <w:rPr>
          <w:rFonts w:asciiTheme="majorHAnsi" w:hAnsiTheme="majorHAnsi" w:cs="Arial"/>
          <w:sz w:val="24"/>
          <w:szCs w:val="24"/>
        </w:rPr>
        <w:t xml:space="preserve">and the wider economy 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large amounts of money. </w:t>
      </w:r>
      <w:r>
        <w:rPr>
          <w:rFonts w:asciiTheme="majorHAnsi" w:hAnsiTheme="majorHAnsi" w:cs="Arial"/>
          <w:sz w:val="24"/>
          <w:szCs w:val="24"/>
        </w:rPr>
        <w:t>Youth</w:t>
      </w:r>
      <w:r w:rsidR="00C222CB">
        <w:rPr>
          <w:rFonts w:asciiTheme="majorHAnsi" w:hAnsiTheme="majorHAnsi" w:cs="Arial"/>
          <w:sz w:val="24"/>
          <w:szCs w:val="24"/>
        </w:rPr>
        <w:t xml:space="preserve"> 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services help </w:t>
      </w:r>
      <w:r w:rsidR="00C222CB">
        <w:rPr>
          <w:rFonts w:asciiTheme="majorHAnsi" w:hAnsiTheme="majorHAnsi" w:cs="Arial"/>
          <w:sz w:val="24"/>
          <w:szCs w:val="24"/>
        </w:rPr>
        <w:t>with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 em</w:t>
      </w:r>
      <w:r w:rsidR="0095588C">
        <w:rPr>
          <w:rFonts w:asciiTheme="majorHAnsi" w:hAnsiTheme="majorHAnsi" w:cs="Arial"/>
          <w:sz w:val="24"/>
          <w:szCs w:val="24"/>
        </w:rPr>
        <w:t xml:space="preserve">ployment, training </w:t>
      </w:r>
      <w:r w:rsidR="00964289">
        <w:rPr>
          <w:rFonts w:asciiTheme="majorHAnsi" w:hAnsiTheme="majorHAnsi" w:cs="Arial"/>
          <w:sz w:val="24"/>
          <w:szCs w:val="24"/>
        </w:rPr>
        <w:t>and</w:t>
      </w:r>
      <w:r w:rsidR="0095588C">
        <w:rPr>
          <w:rFonts w:asciiTheme="majorHAnsi" w:hAnsiTheme="majorHAnsi" w:cs="Arial"/>
          <w:sz w:val="24"/>
          <w:szCs w:val="24"/>
        </w:rPr>
        <w:t xml:space="preserve"> education, potential mental health issues,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 and </w:t>
      </w:r>
      <w:r w:rsidR="0095588C">
        <w:rPr>
          <w:rFonts w:asciiTheme="majorHAnsi" w:hAnsiTheme="majorHAnsi" w:cs="Arial"/>
          <w:sz w:val="24"/>
          <w:szCs w:val="24"/>
        </w:rPr>
        <w:t xml:space="preserve">act </w:t>
      </w:r>
      <w:r w:rsidR="00C222CB">
        <w:rPr>
          <w:rFonts w:asciiTheme="majorHAnsi" w:hAnsiTheme="majorHAnsi" w:cs="Arial"/>
          <w:sz w:val="24"/>
          <w:szCs w:val="24"/>
        </w:rPr>
        <w:t>to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 prevent alcohol</w:t>
      </w:r>
      <w:r w:rsidR="0095588C">
        <w:rPr>
          <w:rFonts w:asciiTheme="majorHAnsi" w:hAnsiTheme="majorHAnsi" w:cs="Arial"/>
          <w:sz w:val="24"/>
          <w:szCs w:val="24"/>
        </w:rPr>
        <w:t xml:space="preserve"> and</w:t>
      </w:r>
      <w:r w:rsidR="002C094B" w:rsidRPr="00C222CB">
        <w:rPr>
          <w:rFonts w:asciiTheme="majorHAnsi" w:hAnsiTheme="majorHAnsi" w:cs="Arial"/>
          <w:sz w:val="24"/>
          <w:szCs w:val="24"/>
        </w:rPr>
        <w:t xml:space="preserve"> substance abuse, </w:t>
      </w:r>
      <w:r w:rsidR="0095588C">
        <w:rPr>
          <w:rFonts w:asciiTheme="majorHAnsi" w:hAnsiTheme="majorHAnsi" w:cs="Arial"/>
          <w:sz w:val="24"/>
          <w:szCs w:val="24"/>
        </w:rPr>
        <w:t xml:space="preserve">as well as </w:t>
      </w:r>
      <w:r w:rsidR="002C094B" w:rsidRPr="00C222CB">
        <w:rPr>
          <w:rFonts w:asciiTheme="majorHAnsi" w:hAnsiTheme="majorHAnsi" w:cs="Arial"/>
          <w:sz w:val="24"/>
          <w:szCs w:val="24"/>
        </w:rPr>
        <w:t>crime and anti-social behaviour.</w:t>
      </w:r>
    </w:p>
    <w:p w14:paraId="78D3C28C" w14:textId="77777777" w:rsidR="002C094B" w:rsidRPr="00C222CB" w:rsidRDefault="002C094B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EDB72BD" w14:textId="77777777" w:rsidR="004A2F15" w:rsidRPr="00C222CB" w:rsidRDefault="002C094B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>But t</w:t>
      </w:r>
      <w:r w:rsidR="00B368E8" w:rsidRPr="00C222CB">
        <w:rPr>
          <w:rFonts w:asciiTheme="majorHAnsi" w:hAnsiTheme="majorHAnsi" w:cs="Arial"/>
          <w:sz w:val="24"/>
          <w:szCs w:val="24"/>
        </w:rPr>
        <w:t xml:space="preserve">he UK’s youth services have come under repeated attack since 2010, and new research carried out by UNISON reveals the </w:t>
      </w:r>
      <w:r w:rsidR="00C222CB">
        <w:rPr>
          <w:rFonts w:asciiTheme="majorHAnsi" w:hAnsiTheme="majorHAnsi" w:cs="Arial"/>
          <w:sz w:val="24"/>
          <w:szCs w:val="24"/>
        </w:rPr>
        <w:t>situation isn’t improving.</w:t>
      </w:r>
    </w:p>
    <w:p w14:paraId="73CD9C7E" w14:textId="77777777" w:rsidR="00C62EF3" w:rsidRPr="00C222CB" w:rsidRDefault="00C62EF3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1F973E7" w14:textId="65520927" w:rsidR="00C62EF3" w:rsidRPr="00C222CB" w:rsidRDefault="007D166F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Between </w:t>
      </w:r>
      <w:r w:rsidR="003E127C">
        <w:rPr>
          <w:rFonts w:asciiTheme="majorHAnsi" w:hAnsiTheme="majorHAnsi" w:cs="Arial"/>
          <w:sz w:val="24"/>
          <w:szCs w:val="24"/>
        </w:rPr>
        <w:t>2010 and 2016</w:t>
      </w:r>
      <w:r w:rsidR="0001320A">
        <w:rPr>
          <w:rFonts w:asciiTheme="majorHAnsi" w:hAnsiTheme="majorHAnsi" w:cs="Arial"/>
          <w:sz w:val="24"/>
          <w:szCs w:val="24"/>
        </w:rPr>
        <w:t>,</w:t>
      </w:r>
      <w:r w:rsidR="003E127C">
        <w:rPr>
          <w:rFonts w:asciiTheme="majorHAnsi" w:hAnsiTheme="majorHAnsi" w:cs="Arial"/>
          <w:sz w:val="24"/>
          <w:szCs w:val="24"/>
        </w:rPr>
        <w:t xml:space="preserve"> a</w:t>
      </w:r>
      <w:r w:rsidR="003E127C" w:rsidRPr="003E127C">
        <w:rPr>
          <w:rFonts w:asciiTheme="majorHAnsi" w:hAnsiTheme="majorHAnsi" w:cs="Arial"/>
          <w:sz w:val="24"/>
          <w:szCs w:val="24"/>
        </w:rPr>
        <w:t xml:space="preserve">n estimated £387 million </w:t>
      </w:r>
      <w:r w:rsidR="003E127C">
        <w:rPr>
          <w:rFonts w:asciiTheme="majorHAnsi" w:hAnsiTheme="majorHAnsi" w:cs="Arial"/>
          <w:sz w:val="24"/>
          <w:szCs w:val="24"/>
        </w:rPr>
        <w:t>was axed</w:t>
      </w:r>
      <w:r w:rsidR="003E127C" w:rsidRPr="003E127C">
        <w:rPr>
          <w:rFonts w:asciiTheme="majorHAnsi" w:hAnsiTheme="majorHAnsi" w:cs="Arial"/>
          <w:sz w:val="24"/>
          <w:szCs w:val="24"/>
        </w:rPr>
        <w:t xml:space="preserve"> from youth services across the UK</w:t>
      </w:r>
      <w:r w:rsidR="003E127C">
        <w:rPr>
          <w:rFonts w:asciiTheme="majorHAnsi" w:hAnsiTheme="majorHAnsi" w:cs="Arial"/>
          <w:sz w:val="24"/>
          <w:szCs w:val="24"/>
        </w:rPr>
        <w:t xml:space="preserve">. </w:t>
      </w:r>
      <w:r w:rsidR="00C62EF3" w:rsidRPr="00C222CB">
        <w:rPr>
          <w:rFonts w:asciiTheme="majorHAnsi" w:hAnsiTheme="majorHAnsi" w:cs="Arial"/>
          <w:sz w:val="24"/>
          <w:szCs w:val="24"/>
        </w:rPr>
        <w:t xml:space="preserve">By the end of the current financial year (2018/19), </w:t>
      </w:r>
      <w:r w:rsidR="00C222CB">
        <w:rPr>
          <w:rFonts w:asciiTheme="majorHAnsi" w:hAnsiTheme="majorHAnsi" w:cs="Arial"/>
          <w:sz w:val="24"/>
          <w:szCs w:val="24"/>
        </w:rPr>
        <w:t xml:space="preserve">there will have been </w:t>
      </w:r>
      <w:r w:rsidR="003E127C">
        <w:rPr>
          <w:rFonts w:asciiTheme="majorHAnsi" w:hAnsiTheme="majorHAnsi" w:cs="Arial"/>
          <w:sz w:val="24"/>
          <w:szCs w:val="24"/>
        </w:rPr>
        <w:t>a further £13.3m</w:t>
      </w:r>
      <w:r w:rsidR="00C222CB" w:rsidRPr="00C222CB">
        <w:rPr>
          <w:rFonts w:asciiTheme="majorHAnsi" w:hAnsiTheme="majorHAnsi" w:cs="Arial"/>
          <w:sz w:val="24"/>
          <w:szCs w:val="24"/>
        </w:rPr>
        <w:t xml:space="preserve"> cut</w:t>
      </w:r>
      <w:r w:rsidR="006B712E" w:rsidRPr="00C222CB">
        <w:rPr>
          <w:rFonts w:asciiTheme="majorHAnsi" w:hAnsiTheme="majorHAnsi" w:cs="Arial"/>
          <w:sz w:val="24"/>
          <w:szCs w:val="24"/>
        </w:rPr>
        <w:t xml:space="preserve">, with the </w:t>
      </w:r>
      <w:r w:rsidR="00E67C0A" w:rsidRPr="00C222CB">
        <w:rPr>
          <w:rFonts w:asciiTheme="majorHAnsi" w:hAnsiTheme="majorHAnsi" w:cs="Arial"/>
          <w:sz w:val="24"/>
          <w:szCs w:val="24"/>
        </w:rPr>
        <w:t xml:space="preserve">loss of </w:t>
      </w:r>
      <w:r w:rsidR="003E127C">
        <w:rPr>
          <w:rFonts w:asciiTheme="majorHAnsi" w:hAnsiTheme="majorHAnsi" w:cs="Arial"/>
          <w:sz w:val="24"/>
          <w:szCs w:val="24"/>
        </w:rPr>
        <w:t>nearly 900</w:t>
      </w:r>
      <w:r w:rsidR="00C62EF3" w:rsidRPr="00C222CB">
        <w:rPr>
          <w:rFonts w:asciiTheme="majorHAnsi" w:hAnsiTheme="majorHAnsi" w:cs="Arial"/>
          <w:sz w:val="24"/>
          <w:szCs w:val="24"/>
        </w:rPr>
        <w:t xml:space="preserve"> you</w:t>
      </w:r>
      <w:r w:rsidR="006B712E" w:rsidRPr="00C222CB">
        <w:rPr>
          <w:rFonts w:asciiTheme="majorHAnsi" w:hAnsiTheme="majorHAnsi" w:cs="Arial"/>
          <w:sz w:val="24"/>
          <w:szCs w:val="24"/>
        </w:rPr>
        <w:t>th workers</w:t>
      </w:r>
      <w:r w:rsidR="003E127C">
        <w:rPr>
          <w:rFonts w:asciiTheme="majorHAnsi" w:hAnsiTheme="majorHAnsi" w:cs="Arial"/>
          <w:sz w:val="24"/>
          <w:szCs w:val="24"/>
        </w:rPr>
        <w:t>,</w:t>
      </w:r>
      <w:r w:rsidR="006B712E" w:rsidRPr="00C222CB">
        <w:rPr>
          <w:rFonts w:asciiTheme="majorHAnsi" w:hAnsiTheme="majorHAnsi" w:cs="Arial"/>
          <w:sz w:val="24"/>
          <w:szCs w:val="24"/>
        </w:rPr>
        <w:t xml:space="preserve"> and the closure of </w:t>
      </w:r>
      <w:r w:rsidR="00E67C0A" w:rsidRPr="00C222CB">
        <w:rPr>
          <w:rFonts w:asciiTheme="majorHAnsi" w:hAnsiTheme="majorHAnsi" w:cs="Arial"/>
          <w:sz w:val="24"/>
          <w:szCs w:val="24"/>
        </w:rPr>
        <w:t>1</w:t>
      </w:r>
      <w:r w:rsidR="006B712E" w:rsidRPr="00C222CB">
        <w:rPr>
          <w:rFonts w:asciiTheme="majorHAnsi" w:hAnsiTheme="majorHAnsi" w:cs="Arial"/>
          <w:sz w:val="24"/>
          <w:szCs w:val="24"/>
        </w:rPr>
        <w:t>6</w:t>
      </w:r>
      <w:r w:rsidR="00E67C0A" w:rsidRPr="00C222CB">
        <w:rPr>
          <w:rFonts w:asciiTheme="majorHAnsi" w:hAnsiTheme="majorHAnsi" w:cs="Arial"/>
          <w:sz w:val="24"/>
          <w:szCs w:val="24"/>
        </w:rPr>
        <w:t>0</w:t>
      </w:r>
      <w:r w:rsidR="00C62EF3" w:rsidRPr="00C222CB">
        <w:rPr>
          <w:rFonts w:asciiTheme="majorHAnsi" w:hAnsiTheme="majorHAnsi" w:cs="Arial"/>
          <w:sz w:val="24"/>
          <w:szCs w:val="24"/>
        </w:rPr>
        <w:t xml:space="preserve"> yout</w:t>
      </w:r>
      <w:r w:rsidR="006B712E" w:rsidRPr="00C222CB">
        <w:rPr>
          <w:rFonts w:asciiTheme="majorHAnsi" w:hAnsiTheme="majorHAnsi" w:cs="Arial"/>
          <w:sz w:val="24"/>
          <w:szCs w:val="24"/>
        </w:rPr>
        <w:t>h centre</w:t>
      </w:r>
      <w:r w:rsidR="00C62EF3" w:rsidRPr="00C222CB">
        <w:rPr>
          <w:rFonts w:asciiTheme="majorHAnsi" w:hAnsiTheme="majorHAnsi" w:cs="Arial"/>
          <w:sz w:val="24"/>
          <w:szCs w:val="24"/>
        </w:rPr>
        <w:t>s.</w:t>
      </w:r>
    </w:p>
    <w:p w14:paraId="49E02E92" w14:textId="77777777" w:rsidR="00C62EF3" w:rsidRPr="00C222CB" w:rsidRDefault="00C62EF3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8678615" w14:textId="7C65C60D" w:rsidR="00C62EF3" w:rsidRPr="00C222CB" w:rsidRDefault="00C62EF3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 xml:space="preserve">This means that between 2010 and 2019, youth services </w:t>
      </w:r>
      <w:r w:rsidR="003E127C">
        <w:rPr>
          <w:rFonts w:asciiTheme="majorHAnsi" w:hAnsiTheme="majorHAnsi" w:cs="Arial"/>
          <w:sz w:val="24"/>
          <w:szCs w:val="24"/>
        </w:rPr>
        <w:t>will have suffered cuts of £400m</w:t>
      </w:r>
      <w:r w:rsidRPr="00C222CB">
        <w:rPr>
          <w:rFonts w:asciiTheme="majorHAnsi" w:hAnsiTheme="majorHAnsi" w:cs="Arial"/>
          <w:sz w:val="24"/>
          <w:szCs w:val="24"/>
        </w:rPr>
        <w:t>. This is a c</w:t>
      </w:r>
      <w:r w:rsidR="00C222CB">
        <w:rPr>
          <w:rFonts w:asciiTheme="majorHAnsi" w:hAnsiTheme="majorHAnsi" w:cs="Arial"/>
          <w:sz w:val="24"/>
          <w:szCs w:val="24"/>
        </w:rPr>
        <w:t xml:space="preserve">olossal amount of money, and </w:t>
      </w:r>
      <w:r w:rsidRPr="00C222CB">
        <w:rPr>
          <w:rFonts w:asciiTheme="majorHAnsi" w:hAnsiTheme="majorHAnsi" w:cs="Arial"/>
          <w:sz w:val="24"/>
          <w:szCs w:val="24"/>
        </w:rPr>
        <w:t xml:space="preserve">will have meant the loss of </w:t>
      </w:r>
      <w:r w:rsidR="006B712E" w:rsidRPr="00C222CB">
        <w:rPr>
          <w:rFonts w:asciiTheme="majorHAnsi" w:hAnsiTheme="majorHAnsi" w:cs="Arial"/>
          <w:sz w:val="24"/>
          <w:szCs w:val="24"/>
        </w:rPr>
        <w:t>more than</w:t>
      </w:r>
      <w:r w:rsidR="00E67C0A" w:rsidRPr="00C222CB">
        <w:rPr>
          <w:rFonts w:asciiTheme="majorHAnsi" w:hAnsiTheme="majorHAnsi" w:cs="Arial"/>
          <w:sz w:val="24"/>
          <w:szCs w:val="24"/>
        </w:rPr>
        <w:t xml:space="preserve"> 4,5</w:t>
      </w:r>
      <w:r w:rsidRPr="00C222CB">
        <w:rPr>
          <w:rFonts w:asciiTheme="majorHAnsi" w:hAnsiTheme="majorHAnsi" w:cs="Arial"/>
          <w:sz w:val="24"/>
          <w:szCs w:val="24"/>
        </w:rPr>
        <w:t xml:space="preserve">00 youth work jobs and </w:t>
      </w:r>
      <w:r w:rsidR="00E67C0A" w:rsidRPr="00C222CB">
        <w:rPr>
          <w:rFonts w:asciiTheme="majorHAnsi" w:hAnsiTheme="majorHAnsi" w:cs="Arial"/>
          <w:sz w:val="24"/>
          <w:szCs w:val="24"/>
        </w:rPr>
        <w:t>more than 760</w:t>
      </w:r>
      <w:r w:rsidRPr="00C222CB">
        <w:rPr>
          <w:rFonts w:asciiTheme="majorHAnsi" w:hAnsiTheme="majorHAnsi" w:cs="Arial"/>
          <w:sz w:val="24"/>
          <w:szCs w:val="24"/>
        </w:rPr>
        <w:t xml:space="preserve"> youth centres since 2012.</w:t>
      </w:r>
    </w:p>
    <w:p w14:paraId="768FB4CF" w14:textId="77777777" w:rsidR="002C094B" w:rsidRPr="00C222CB" w:rsidRDefault="002C094B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2185999" w14:textId="77777777" w:rsidR="00F92663" w:rsidRPr="00C222CB" w:rsidRDefault="00F92663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>Background to the research</w:t>
      </w:r>
    </w:p>
    <w:p w14:paraId="7B31E160" w14:textId="04C20302" w:rsidR="00B368E8" w:rsidRPr="003E127C" w:rsidRDefault="00B368E8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>In S</w:t>
      </w:r>
      <w:r w:rsidR="00964289">
        <w:rPr>
          <w:rFonts w:asciiTheme="majorHAnsi" w:hAnsiTheme="majorHAnsi" w:cs="Arial"/>
          <w:sz w:val="24"/>
          <w:szCs w:val="24"/>
        </w:rPr>
        <w:t>eptember 2018, UNISON issued a freedom of i</w:t>
      </w:r>
      <w:r w:rsidRPr="00C222CB">
        <w:rPr>
          <w:rFonts w:asciiTheme="majorHAnsi" w:hAnsiTheme="majorHAnsi" w:cs="Arial"/>
          <w:sz w:val="24"/>
          <w:szCs w:val="24"/>
        </w:rPr>
        <w:t>nformation (</w:t>
      </w:r>
      <w:proofErr w:type="spellStart"/>
      <w:r w:rsidRPr="00C222CB">
        <w:rPr>
          <w:rFonts w:asciiTheme="majorHAnsi" w:hAnsiTheme="majorHAnsi" w:cs="Arial"/>
          <w:sz w:val="24"/>
          <w:szCs w:val="24"/>
        </w:rPr>
        <w:t>FoI</w:t>
      </w:r>
      <w:proofErr w:type="spellEnd"/>
      <w:r w:rsidRPr="00C222CB">
        <w:rPr>
          <w:rFonts w:asciiTheme="majorHAnsi" w:hAnsiTheme="majorHAnsi" w:cs="Arial"/>
          <w:sz w:val="24"/>
          <w:szCs w:val="24"/>
        </w:rPr>
        <w:t xml:space="preserve">) request to all local authorities in the </w:t>
      </w:r>
      <w:r w:rsidR="00C222CB">
        <w:rPr>
          <w:rFonts w:asciiTheme="majorHAnsi" w:hAnsiTheme="majorHAnsi" w:cs="Arial"/>
          <w:sz w:val="24"/>
          <w:szCs w:val="24"/>
        </w:rPr>
        <w:t xml:space="preserve">UK </w:t>
      </w:r>
      <w:r w:rsidR="006D1081">
        <w:rPr>
          <w:rFonts w:asciiTheme="majorHAnsi" w:hAnsiTheme="majorHAnsi" w:cs="Arial"/>
          <w:sz w:val="24"/>
          <w:szCs w:val="24"/>
        </w:rPr>
        <w:t>that provide youth services</w:t>
      </w:r>
      <w:r w:rsidR="006D1081" w:rsidRPr="006D1081">
        <w:rPr>
          <w:rFonts w:asciiTheme="majorHAnsi" w:hAnsiTheme="majorHAnsi" w:cs="Arial"/>
          <w:sz w:val="24"/>
          <w:szCs w:val="24"/>
        </w:rPr>
        <w:t xml:space="preserve"> </w:t>
      </w:r>
      <w:r w:rsidR="006D1081" w:rsidRPr="00C222CB">
        <w:rPr>
          <w:rFonts w:asciiTheme="majorHAnsi" w:hAnsiTheme="majorHAnsi" w:cs="Arial"/>
          <w:sz w:val="24"/>
          <w:szCs w:val="24"/>
        </w:rPr>
        <w:t>– county councils, unitary authorities, metropolitan authorities, and London boroughs</w:t>
      </w:r>
      <w:r w:rsidR="006D1081">
        <w:rPr>
          <w:rFonts w:asciiTheme="majorHAnsi" w:hAnsiTheme="majorHAnsi" w:cs="Arial"/>
          <w:sz w:val="24"/>
          <w:szCs w:val="24"/>
        </w:rPr>
        <w:t xml:space="preserve">. </w:t>
      </w:r>
      <w:r w:rsidR="003E127C">
        <w:rPr>
          <w:rFonts w:asciiTheme="majorHAnsi" w:hAnsiTheme="majorHAnsi" w:cs="Arial"/>
          <w:sz w:val="24"/>
          <w:szCs w:val="24"/>
        </w:rPr>
        <w:t xml:space="preserve">The </w:t>
      </w:r>
      <w:proofErr w:type="spellStart"/>
      <w:r w:rsidR="003E127C">
        <w:rPr>
          <w:rFonts w:asciiTheme="majorHAnsi" w:hAnsiTheme="majorHAnsi" w:cs="Arial"/>
          <w:sz w:val="24"/>
          <w:szCs w:val="24"/>
        </w:rPr>
        <w:t>FoI</w:t>
      </w:r>
      <w:proofErr w:type="spellEnd"/>
      <w:r w:rsidR="006D1081">
        <w:rPr>
          <w:rFonts w:asciiTheme="majorHAnsi" w:hAnsiTheme="majorHAnsi" w:cs="Arial"/>
          <w:sz w:val="24"/>
          <w:szCs w:val="24"/>
        </w:rPr>
        <w:t xml:space="preserve"> asked what has</w:t>
      </w:r>
      <w:r w:rsidRPr="00C222CB">
        <w:rPr>
          <w:rFonts w:asciiTheme="majorHAnsi" w:hAnsiTheme="majorHAnsi" w:cs="Arial"/>
          <w:sz w:val="24"/>
          <w:szCs w:val="24"/>
        </w:rPr>
        <w:t xml:space="preserve"> happened to youth services in the years 2016/17 and 201</w:t>
      </w:r>
      <w:r w:rsidR="00901A69" w:rsidRPr="00C222CB">
        <w:rPr>
          <w:rFonts w:asciiTheme="majorHAnsi" w:hAnsiTheme="majorHAnsi" w:cs="Arial"/>
          <w:sz w:val="24"/>
          <w:szCs w:val="24"/>
        </w:rPr>
        <w:t>7</w:t>
      </w:r>
      <w:r w:rsidRPr="00C222CB">
        <w:rPr>
          <w:rFonts w:asciiTheme="majorHAnsi" w:hAnsiTheme="majorHAnsi" w:cs="Arial"/>
          <w:sz w:val="24"/>
          <w:szCs w:val="24"/>
        </w:rPr>
        <w:t>/1</w:t>
      </w:r>
      <w:r w:rsidR="00901A69" w:rsidRPr="00C222CB">
        <w:rPr>
          <w:rFonts w:asciiTheme="majorHAnsi" w:hAnsiTheme="majorHAnsi" w:cs="Arial"/>
          <w:sz w:val="24"/>
          <w:szCs w:val="24"/>
        </w:rPr>
        <w:t>8</w:t>
      </w:r>
      <w:r w:rsidRPr="00C222CB">
        <w:rPr>
          <w:rFonts w:asciiTheme="majorHAnsi" w:hAnsiTheme="majorHAnsi" w:cs="Arial"/>
          <w:sz w:val="24"/>
          <w:szCs w:val="24"/>
        </w:rPr>
        <w:t>, and in the curren</w:t>
      </w:r>
      <w:r w:rsidR="003E127C">
        <w:rPr>
          <w:rFonts w:asciiTheme="majorHAnsi" w:hAnsiTheme="majorHAnsi" w:cs="Arial"/>
          <w:sz w:val="24"/>
          <w:szCs w:val="24"/>
        </w:rPr>
        <w:t>t financial year (</w:t>
      </w:r>
      <w:r w:rsidR="006D1081">
        <w:rPr>
          <w:rFonts w:asciiTheme="majorHAnsi" w:hAnsiTheme="majorHAnsi" w:cs="Arial"/>
          <w:sz w:val="24"/>
          <w:szCs w:val="24"/>
        </w:rPr>
        <w:t>2018/19</w:t>
      </w:r>
      <w:r w:rsidR="003E127C">
        <w:rPr>
          <w:rFonts w:asciiTheme="majorHAnsi" w:hAnsiTheme="majorHAnsi" w:cs="Arial"/>
          <w:sz w:val="24"/>
          <w:szCs w:val="24"/>
        </w:rPr>
        <w:t>)</w:t>
      </w:r>
      <w:r w:rsidR="006D1081">
        <w:rPr>
          <w:rFonts w:asciiTheme="majorHAnsi" w:hAnsiTheme="majorHAnsi" w:cs="Arial"/>
          <w:sz w:val="24"/>
          <w:szCs w:val="24"/>
        </w:rPr>
        <w:t>. Q</w:t>
      </w:r>
      <w:r w:rsidRPr="00C222CB">
        <w:rPr>
          <w:rFonts w:asciiTheme="majorHAnsi" w:hAnsiTheme="majorHAnsi" w:cs="Arial"/>
          <w:sz w:val="24"/>
          <w:szCs w:val="24"/>
        </w:rPr>
        <w:t xml:space="preserve">uestions covered budgets, staffing levels and youth centres. </w:t>
      </w:r>
      <w:r w:rsidR="003E127C">
        <w:rPr>
          <w:rFonts w:asciiTheme="majorHAnsi" w:hAnsiTheme="majorHAnsi" w:cs="Arial"/>
          <w:sz w:val="24"/>
          <w:szCs w:val="24"/>
        </w:rPr>
        <w:t xml:space="preserve">Of the </w:t>
      </w:r>
      <w:r w:rsidR="003E127C" w:rsidRPr="00C222CB">
        <w:rPr>
          <w:rFonts w:asciiTheme="majorHAnsi" w:hAnsiTheme="majorHAnsi" w:cs="Arial"/>
          <w:sz w:val="24"/>
          <w:szCs w:val="24"/>
        </w:rPr>
        <w:t>relevant local authorities</w:t>
      </w:r>
      <w:r w:rsidR="003E127C">
        <w:rPr>
          <w:rFonts w:asciiTheme="majorHAnsi" w:hAnsiTheme="majorHAnsi" w:cs="Arial"/>
          <w:sz w:val="24"/>
          <w:szCs w:val="24"/>
        </w:rPr>
        <w:t xml:space="preserve">, 101 </w:t>
      </w:r>
      <w:r w:rsidR="003E127C" w:rsidRPr="003E127C">
        <w:rPr>
          <w:rFonts w:asciiTheme="majorHAnsi" w:hAnsiTheme="majorHAnsi" w:cs="Arial"/>
          <w:color w:val="000000" w:themeColor="text1"/>
          <w:sz w:val="24"/>
          <w:szCs w:val="24"/>
        </w:rPr>
        <w:t>responses were received</w:t>
      </w:r>
      <w:r w:rsidRPr="00C222CB">
        <w:rPr>
          <w:rFonts w:asciiTheme="majorHAnsi" w:hAnsiTheme="majorHAnsi" w:cs="Arial"/>
          <w:sz w:val="24"/>
          <w:szCs w:val="24"/>
        </w:rPr>
        <w:t>.</w:t>
      </w:r>
    </w:p>
    <w:p w14:paraId="43A012D1" w14:textId="77777777" w:rsidR="00EC6D77" w:rsidRPr="00C222CB" w:rsidRDefault="00EC6D77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EFEBEE7" w14:textId="4A4CEF1A" w:rsidR="00EC6D77" w:rsidRPr="00C222CB" w:rsidRDefault="00EC6D77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 xml:space="preserve">This </w:t>
      </w:r>
      <w:r w:rsidR="00901A69" w:rsidRPr="00C222CB">
        <w:rPr>
          <w:rFonts w:asciiTheme="majorHAnsi" w:hAnsiTheme="majorHAnsi" w:cs="Arial"/>
          <w:sz w:val="24"/>
          <w:szCs w:val="24"/>
        </w:rPr>
        <w:t>report</w:t>
      </w:r>
      <w:r w:rsidRPr="00C222CB">
        <w:rPr>
          <w:rFonts w:asciiTheme="majorHAnsi" w:hAnsiTheme="majorHAnsi" w:cs="Arial"/>
          <w:sz w:val="24"/>
          <w:szCs w:val="24"/>
        </w:rPr>
        <w:t xml:space="preserve"> is the latest in a long-running series of UNISON investigations into the state of the UK’s youth services. We reported on similar </w:t>
      </w:r>
      <w:proofErr w:type="spellStart"/>
      <w:r w:rsidRPr="00C222CB">
        <w:rPr>
          <w:rFonts w:asciiTheme="majorHAnsi" w:hAnsiTheme="majorHAnsi" w:cs="Arial"/>
          <w:sz w:val="24"/>
          <w:szCs w:val="24"/>
        </w:rPr>
        <w:t>FoI</w:t>
      </w:r>
      <w:proofErr w:type="spellEnd"/>
      <w:r w:rsidRPr="00C222CB">
        <w:rPr>
          <w:rFonts w:asciiTheme="majorHAnsi" w:hAnsiTheme="majorHAnsi" w:cs="Arial"/>
          <w:sz w:val="24"/>
          <w:szCs w:val="24"/>
        </w:rPr>
        <w:t xml:space="preserve"> requests</w:t>
      </w:r>
      <w:r w:rsidR="00964289">
        <w:rPr>
          <w:rFonts w:asciiTheme="majorHAnsi" w:hAnsiTheme="majorHAnsi" w:cs="Arial"/>
          <w:sz w:val="24"/>
          <w:szCs w:val="24"/>
        </w:rPr>
        <w:t xml:space="preserve"> </w:t>
      </w:r>
      <w:r w:rsidR="00964289" w:rsidRPr="00964289">
        <w:rPr>
          <w:rFonts w:ascii="Cambria" w:eastAsia="ＭＳ 明朝" w:hAnsi="Cambria" w:cs="Times New Roman"/>
          <w:sz w:val="24"/>
          <w:szCs w:val="24"/>
          <w:lang w:eastAsia="en-US"/>
        </w:rPr>
        <w:t>in 2016 (covering 2014-16) and</w:t>
      </w:r>
      <w:r w:rsidR="00964289">
        <w:rPr>
          <w:rFonts w:ascii="Cambria" w:eastAsia="ＭＳ 明朝" w:hAnsi="Cambria" w:cs="Times New Roman"/>
          <w:sz w:val="24"/>
          <w:szCs w:val="24"/>
          <w:lang w:eastAsia="en-US"/>
        </w:rPr>
        <w:t xml:space="preserve"> in</w:t>
      </w:r>
      <w:r w:rsidR="00964289" w:rsidRPr="00964289">
        <w:rPr>
          <w:rFonts w:ascii="Cambria" w:eastAsia="ＭＳ 明朝" w:hAnsi="Cambria" w:cs="Times New Roman"/>
          <w:sz w:val="24"/>
          <w:szCs w:val="24"/>
          <w:lang w:eastAsia="en-US"/>
        </w:rPr>
        <w:t xml:space="preserve"> 2014 (covering 2012-14), and also carried out research into cuts over the 2010-12 period.</w:t>
      </w:r>
      <w:r w:rsidR="00964289">
        <w:rPr>
          <w:rFonts w:ascii="Cambria" w:eastAsia="ＭＳ 明朝" w:hAnsi="Cambria" w:cs="Times New Roman"/>
          <w:sz w:val="24"/>
          <w:szCs w:val="24"/>
          <w:lang w:eastAsia="en-US"/>
        </w:rPr>
        <w:t xml:space="preserve"> </w:t>
      </w:r>
      <w:r w:rsidR="00C222CB">
        <w:rPr>
          <w:rFonts w:asciiTheme="majorHAnsi" w:hAnsiTheme="majorHAnsi" w:cs="Arial"/>
          <w:sz w:val="24"/>
          <w:szCs w:val="24"/>
        </w:rPr>
        <w:t>This means w</w:t>
      </w:r>
      <w:r w:rsidRPr="00C222CB">
        <w:rPr>
          <w:rFonts w:asciiTheme="majorHAnsi" w:hAnsiTheme="majorHAnsi" w:cs="Arial"/>
          <w:sz w:val="24"/>
          <w:szCs w:val="24"/>
        </w:rPr>
        <w:t xml:space="preserve">e have almost a decade of data about </w:t>
      </w:r>
      <w:r w:rsidR="00C222CB">
        <w:rPr>
          <w:rFonts w:asciiTheme="majorHAnsi" w:hAnsiTheme="majorHAnsi" w:cs="Arial"/>
          <w:sz w:val="24"/>
          <w:szCs w:val="24"/>
        </w:rPr>
        <w:t xml:space="preserve">the state of youth services since the coalition </w:t>
      </w:r>
      <w:r w:rsidRPr="00C222CB">
        <w:rPr>
          <w:rFonts w:asciiTheme="majorHAnsi" w:hAnsiTheme="majorHAnsi" w:cs="Arial"/>
          <w:sz w:val="24"/>
          <w:szCs w:val="24"/>
        </w:rPr>
        <w:t>took power in 2010.</w:t>
      </w:r>
    </w:p>
    <w:p w14:paraId="3DEEA219" w14:textId="77777777" w:rsidR="002C094B" w:rsidRPr="00C222CB" w:rsidRDefault="002C094B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6CD6E6E" w14:textId="77777777" w:rsidR="00C62EF3" w:rsidRPr="00C222CB" w:rsidRDefault="00C62EF3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>Findings</w:t>
      </w:r>
    </w:p>
    <w:p w14:paraId="1212212B" w14:textId="3A30BA1A" w:rsidR="00B368E8" w:rsidRPr="00FB1433" w:rsidRDefault="00B368E8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>Across the three financial years covering 2016-19, youth service budgets have been cut by £13</w:t>
      </w:r>
      <w:r w:rsidR="006B712E" w:rsidRPr="00C222CB">
        <w:rPr>
          <w:rFonts w:asciiTheme="majorHAnsi" w:hAnsiTheme="majorHAnsi" w:cs="Arial"/>
          <w:sz w:val="24"/>
          <w:szCs w:val="24"/>
        </w:rPr>
        <w:t>.</w:t>
      </w:r>
      <w:r w:rsidR="007A2DB6" w:rsidRPr="00C222CB">
        <w:rPr>
          <w:rFonts w:asciiTheme="majorHAnsi" w:hAnsiTheme="majorHAnsi" w:cs="Arial"/>
          <w:sz w:val="24"/>
          <w:szCs w:val="24"/>
        </w:rPr>
        <w:t>3</w:t>
      </w:r>
      <w:r w:rsidR="003E127C">
        <w:rPr>
          <w:rFonts w:asciiTheme="majorHAnsi" w:hAnsiTheme="majorHAnsi" w:cs="Arial"/>
          <w:sz w:val="24"/>
          <w:szCs w:val="24"/>
        </w:rPr>
        <w:t>m</w:t>
      </w:r>
      <w:r w:rsidRPr="00C222CB">
        <w:rPr>
          <w:rFonts w:asciiTheme="majorHAnsi" w:hAnsiTheme="majorHAnsi" w:cs="Arial"/>
          <w:sz w:val="24"/>
          <w:szCs w:val="24"/>
        </w:rPr>
        <w:t xml:space="preserve">. Combined with data from UNISON’s previous research, </w:t>
      </w:r>
      <w:r w:rsidR="00FB1433" w:rsidRPr="00FB1433">
        <w:rPr>
          <w:rFonts w:asciiTheme="majorHAnsi" w:hAnsiTheme="majorHAnsi" w:cs="Arial"/>
          <w:sz w:val="24"/>
          <w:szCs w:val="24"/>
        </w:rPr>
        <w:t>a total of</w:t>
      </w:r>
      <w:r w:rsidRPr="00FB1433">
        <w:rPr>
          <w:rFonts w:asciiTheme="majorHAnsi" w:hAnsiTheme="majorHAnsi" w:cs="Arial"/>
          <w:sz w:val="24"/>
          <w:szCs w:val="24"/>
        </w:rPr>
        <w:t xml:space="preserve"> </w:t>
      </w:r>
      <w:r w:rsidR="00FB1433" w:rsidRPr="00FB1433">
        <w:rPr>
          <w:rFonts w:asciiTheme="majorHAnsi" w:hAnsiTheme="majorHAnsi" w:cs="Arial"/>
          <w:sz w:val="24"/>
          <w:szCs w:val="24"/>
        </w:rPr>
        <w:t>£400m has been cut from youth service</w:t>
      </w:r>
      <w:r w:rsidR="007A2DB6" w:rsidRPr="00FB1433">
        <w:rPr>
          <w:rFonts w:asciiTheme="majorHAnsi" w:hAnsiTheme="majorHAnsi" w:cs="Arial"/>
          <w:sz w:val="24"/>
          <w:szCs w:val="24"/>
        </w:rPr>
        <w:t>s since 2010</w:t>
      </w:r>
      <w:r w:rsidRPr="00FB1433">
        <w:rPr>
          <w:rFonts w:asciiTheme="majorHAnsi" w:hAnsiTheme="majorHAnsi" w:cs="Arial"/>
          <w:sz w:val="24"/>
          <w:szCs w:val="24"/>
        </w:rPr>
        <w:t>.</w:t>
      </w:r>
    </w:p>
    <w:p w14:paraId="5C8F32BB" w14:textId="77777777" w:rsidR="00B368E8" w:rsidRPr="00C222CB" w:rsidRDefault="00B368E8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C9A0E0A" w14:textId="2FD337CE" w:rsidR="005636F0" w:rsidRPr="00C222CB" w:rsidRDefault="005636F0" w:rsidP="005636F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 xml:space="preserve">Table 1: Total </w:t>
      </w:r>
      <w:r w:rsidR="00C222CB">
        <w:rPr>
          <w:rFonts w:asciiTheme="majorHAnsi" w:hAnsiTheme="majorHAnsi" w:cs="Arial"/>
          <w:b/>
          <w:sz w:val="24"/>
          <w:szCs w:val="24"/>
        </w:rPr>
        <w:t xml:space="preserve">cuts in youth service spending </w:t>
      </w:r>
      <w:r w:rsidR="00FB1433">
        <w:rPr>
          <w:rFonts w:asciiTheme="majorHAnsi" w:hAnsiTheme="majorHAnsi" w:cs="Arial"/>
          <w:b/>
          <w:sz w:val="24"/>
          <w:szCs w:val="24"/>
        </w:rPr>
        <w:t>2010-19</w:t>
      </w:r>
    </w:p>
    <w:tbl>
      <w:tblPr>
        <w:tblStyle w:val="TableGrid"/>
        <w:tblpPr w:leftFromText="180" w:rightFromText="180" w:vertAnchor="text" w:horzAnchor="page" w:tblpX="1549" w:tblpY="199"/>
        <w:tblW w:w="9180" w:type="dxa"/>
        <w:tblLook w:val="04A0" w:firstRow="1" w:lastRow="0" w:firstColumn="1" w:lastColumn="0" w:noHBand="0" w:noVBand="1"/>
      </w:tblPr>
      <w:tblGrid>
        <w:gridCol w:w="848"/>
        <w:gridCol w:w="990"/>
        <w:gridCol w:w="866"/>
        <w:gridCol w:w="866"/>
        <w:gridCol w:w="866"/>
        <w:gridCol w:w="866"/>
        <w:gridCol w:w="915"/>
        <w:gridCol w:w="866"/>
        <w:gridCol w:w="866"/>
        <w:gridCol w:w="1231"/>
      </w:tblGrid>
      <w:tr w:rsidR="00FB1433" w:rsidRPr="00C222CB" w14:paraId="74CB16C9" w14:textId="77777777" w:rsidTr="00FB1433">
        <w:tc>
          <w:tcPr>
            <w:tcW w:w="848" w:type="dxa"/>
          </w:tcPr>
          <w:p w14:paraId="52C5261E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2010</w:t>
            </w:r>
          </w:p>
          <w:p w14:paraId="70541BA5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/11</w:t>
            </w:r>
          </w:p>
        </w:tc>
        <w:tc>
          <w:tcPr>
            <w:tcW w:w="990" w:type="dxa"/>
          </w:tcPr>
          <w:p w14:paraId="65B58578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2011/</w:t>
            </w:r>
          </w:p>
          <w:p w14:paraId="7FCE4899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14:paraId="27C40706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2012/</w:t>
            </w:r>
          </w:p>
          <w:p w14:paraId="264E4B52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14:paraId="24AC4FF9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2013/</w:t>
            </w:r>
          </w:p>
          <w:p w14:paraId="0184CC5E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14:paraId="5EA0DB82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2014/</w:t>
            </w:r>
          </w:p>
          <w:p w14:paraId="5C11EE41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14:paraId="36EE2BB9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2015/</w:t>
            </w:r>
          </w:p>
          <w:p w14:paraId="6A103890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915" w:type="dxa"/>
          </w:tcPr>
          <w:p w14:paraId="0B56DCC9" w14:textId="692CC14D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201</w:t>
            </w:r>
            <w:r w:rsidRPr="00C222CB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14:paraId="1E60B0C9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14:paraId="7E6AD779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2017/</w:t>
            </w:r>
          </w:p>
          <w:p w14:paraId="63D92F98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14:paraId="1E03D720" w14:textId="77777777" w:rsidR="00FB1433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2018/</w:t>
            </w:r>
          </w:p>
          <w:p w14:paraId="1460B899" w14:textId="77777777" w:rsidR="00FB1433" w:rsidRPr="00C222CB" w:rsidRDefault="00FB1433" w:rsidP="00FB143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231" w:type="dxa"/>
          </w:tcPr>
          <w:p w14:paraId="5D96947B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Total 2010-19</w:t>
            </w:r>
          </w:p>
        </w:tc>
      </w:tr>
      <w:tr w:rsidR="00FB1433" w:rsidRPr="00C222CB" w14:paraId="47B31F81" w14:textId="77777777" w:rsidTr="00FB1433">
        <w:trPr>
          <w:trHeight w:val="395"/>
        </w:trPr>
        <w:tc>
          <w:tcPr>
            <w:tcW w:w="848" w:type="dxa"/>
          </w:tcPr>
          <w:p w14:paraId="2E3610A3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62m</w:t>
            </w:r>
          </w:p>
        </w:tc>
        <w:tc>
          <w:tcPr>
            <w:tcW w:w="990" w:type="dxa"/>
          </w:tcPr>
          <w:p w14:paraId="6B28FB2E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137m</w:t>
            </w:r>
          </w:p>
        </w:tc>
        <w:tc>
          <w:tcPr>
            <w:tcW w:w="866" w:type="dxa"/>
          </w:tcPr>
          <w:p w14:paraId="1E38F5DF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41m</w:t>
            </w:r>
          </w:p>
        </w:tc>
        <w:tc>
          <w:tcPr>
            <w:tcW w:w="866" w:type="dxa"/>
          </w:tcPr>
          <w:p w14:paraId="0A3D1DB1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24m</w:t>
            </w:r>
          </w:p>
        </w:tc>
        <w:tc>
          <w:tcPr>
            <w:tcW w:w="866" w:type="dxa"/>
          </w:tcPr>
          <w:p w14:paraId="65A8D32F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85m</w:t>
            </w:r>
          </w:p>
        </w:tc>
        <w:tc>
          <w:tcPr>
            <w:tcW w:w="866" w:type="dxa"/>
          </w:tcPr>
          <w:p w14:paraId="18BAA1A5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38m</w:t>
            </w:r>
          </w:p>
        </w:tc>
        <w:tc>
          <w:tcPr>
            <w:tcW w:w="915" w:type="dxa"/>
          </w:tcPr>
          <w:p w14:paraId="4AD7FC2D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4m</w:t>
            </w:r>
          </w:p>
        </w:tc>
        <w:tc>
          <w:tcPr>
            <w:tcW w:w="866" w:type="dxa"/>
          </w:tcPr>
          <w:p w14:paraId="5AF21DE4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6m</w:t>
            </w:r>
          </w:p>
        </w:tc>
        <w:tc>
          <w:tcPr>
            <w:tcW w:w="866" w:type="dxa"/>
          </w:tcPr>
          <w:p w14:paraId="1571A1FA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3m</w:t>
            </w:r>
          </w:p>
        </w:tc>
        <w:tc>
          <w:tcPr>
            <w:tcW w:w="1231" w:type="dxa"/>
          </w:tcPr>
          <w:p w14:paraId="435FA7BF" w14:textId="77777777" w:rsidR="00FB1433" w:rsidRPr="00C222CB" w:rsidRDefault="00FB1433" w:rsidP="00FB143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£</w:t>
            </w: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400m</w:t>
            </w:r>
          </w:p>
        </w:tc>
      </w:tr>
    </w:tbl>
    <w:p w14:paraId="3D199B3B" w14:textId="77777777" w:rsidR="005636F0" w:rsidRPr="00C222CB" w:rsidRDefault="005636F0" w:rsidP="005636F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302D962" w14:textId="77777777" w:rsidR="005636F0" w:rsidRPr="00C222CB" w:rsidRDefault="005636F0" w:rsidP="005636F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F5A4A83" w14:textId="77777777" w:rsidR="00C222CB" w:rsidRPr="00C222CB" w:rsidRDefault="00CE4097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 xml:space="preserve">What </w:t>
      </w:r>
      <w:r w:rsidR="00C222CB" w:rsidRPr="00C222CB">
        <w:rPr>
          <w:rFonts w:asciiTheme="majorHAnsi" w:hAnsiTheme="majorHAnsi" w:cs="Arial"/>
          <w:b/>
          <w:sz w:val="24"/>
          <w:szCs w:val="24"/>
        </w:rPr>
        <w:t>funding cuts mean</w:t>
      </w:r>
    </w:p>
    <w:p w14:paraId="05E94921" w14:textId="626A14C8" w:rsidR="00B368E8" w:rsidRPr="00FB1433" w:rsidRDefault="00B368E8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>Between 201</w:t>
      </w:r>
      <w:r w:rsidR="00C62EF3" w:rsidRPr="00C222CB">
        <w:rPr>
          <w:rFonts w:asciiTheme="majorHAnsi" w:hAnsiTheme="majorHAnsi" w:cs="Arial"/>
          <w:sz w:val="24"/>
          <w:szCs w:val="24"/>
        </w:rPr>
        <w:t>2</w:t>
      </w:r>
      <w:r w:rsidRPr="00C222CB">
        <w:rPr>
          <w:rFonts w:asciiTheme="majorHAnsi" w:hAnsiTheme="majorHAnsi" w:cs="Arial"/>
          <w:sz w:val="24"/>
          <w:szCs w:val="24"/>
        </w:rPr>
        <w:t xml:space="preserve"> and 2016, 3,652 local authority youth work jobs were lost. Bet</w:t>
      </w:r>
      <w:r w:rsidR="006B712E" w:rsidRPr="00C222CB">
        <w:rPr>
          <w:rFonts w:asciiTheme="majorHAnsi" w:hAnsiTheme="majorHAnsi" w:cs="Arial"/>
          <w:sz w:val="24"/>
          <w:szCs w:val="24"/>
        </w:rPr>
        <w:t>w</w:t>
      </w:r>
      <w:r w:rsidR="007A2DB6" w:rsidRPr="00C222CB">
        <w:rPr>
          <w:rFonts w:asciiTheme="majorHAnsi" w:hAnsiTheme="majorHAnsi" w:cs="Arial"/>
          <w:sz w:val="24"/>
          <w:szCs w:val="24"/>
        </w:rPr>
        <w:t>een 2016 and 2019, a further 892</w:t>
      </w:r>
      <w:r w:rsidRPr="00C222CB">
        <w:rPr>
          <w:rFonts w:asciiTheme="majorHAnsi" w:hAnsiTheme="majorHAnsi" w:cs="Arial"/>
          <w:sz w:val="24"/>
          <w:szCs w:val="24"/>
        </w:rPr>
        <w:t xml:space="preserve"> jobs have </w:t>
      </w:r>
      <w:r w:rsidR="00FB1433">
        <w:rPr>
          <w:rFonts w:asciiTheme="majorHAnsi" w:hAnsiTheme="majorHAnsi" w:cs="Arial"/>
          <w:sz w:val="24"/>
          <w:szCs w:val="24"/>
        </w:rPr>
        <w:t>disappeared</w:t>
      </w:r>
      <w:r w:rsidRPr="00C222CB">
        <w:rPr>
          <w:rFonts w:asciiTheme="majorHAnsi" w:hAnsiTheme="majorHAnsi" w:cs="Arial"/>
          <w:sz w:val="24"/>
          <w:szCs w:val="24"/>
        </w:rPr>
        <w:t xml:space="preserve">. </w:t>
      </w:r>
      <w:r w:rsidRPr="00FB1433">
        <w:rPr>
          <w:rFonts w:asciiTheme="majorHAnsi" w:hAnsiTheme="majorHAnsi" w:cs="Arial"/>
          <w:sz w:val="24"/>
          <w:szCs w:val="24"/>
        </w:rPr>
        <w:t>This means that 4,</w:t>
      </w:r>
      <w:r w:rsidR="007A2DB6" w:rsidRPr="00FB1433">
        <w:rPr>
          <w:rFonts w:asciiTheme="majorHAnsi" w:hAnsiTheme="majorHAnsi" w:cs="Arial"/>
          <w:sz w:val="24"/>
          <w:szCs w:val="24"/>
        </w:rPr>
        <w:t>544</w:t>
      </w:r>
      <w:r w:rsidRPr="00FB1433">
        <w:rPr>
          <w:rFonts w:asciiTheme="majorHAnsi" w:hAnsiTheme="majorHAnsi" w:cs="Arial"/>
          <w:sz w:val="24"/>
          <w:szCs w:val="24"/>
        </w:rPr>
        <w:t xml:space="preserve"> jobs have been </w:t>
      </w:r>
      <w:r w:rsidR="00964289">
        <w:rPr>
          <w:rFonts w:asciiTheme="majorHAnsi" w:hAnsiTheme="majorHAnsi" w:cs="Arial"/>
          <w:sz w:val="24"/>
          <w:szCs w:val="24"/>
        </w:rPr>
        <w:t>axed</w:t>
      </w:r>
      <w:r w:rsidRPr="00FB1433">
        <w:rPr>
          <w:rFonts w:asciiTheme="majorHAnsi" w:hAnsiTheme="majorHAnsi" w:cs="Arial"/>
          <w:sz w:val="24"/>
          <w:szCs w:val="24"/>
        </w:rPr>
        <w:t xml:space="preserve"> from local authority youth services between 201</w:t>
      </w:r>
      <w:r w:rsidR="00C62EF3" w:rsidRPr="00FB1433">
        <w:rPr>
          <w:rFonts w:asciiTheme="majorHAnsi" w:hAnsiTheme="majorHAnsi" w:cs="Arial"/>
          <w:sz w:val="24"/>
          <w:szCs w:val="24"/>
        </w:rPr>
        <w:t>2</w:t>
      </w:r>
      <w:r w:rsidRPr="00FB1433">
        <w:rPr>
          <w:rFonts w:asciiTheme="majorHAnsi" w:hAnsiTheme="majorHAnsi" w:cs="Arial"/>
          <w:sz w:val="24"/>
          <w:szCs w:val="24"/>
        </w:rPr>
        <w:t xml:space="preserve"> and 2019.</w:t>
      </w:r>
    </w:p>
    <w:p w14:paraId="61A719AE" w14:textId="77777777" w:rsidR="00B368E8" w:rsidRPr="00C222CB" w:rsidRDefault="00B368E8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29105DF" w14:textId="460C6115" w:rsidR="00B368E8" w:rsidRDefault="007A2DB6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>At least 160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youth centres </w:t>
      </w:r>
      <w:r w:rsidR="00964289">
        <w:rPr>
          <w:rFonts w:asciiTheme="majorHAnsi" w:hAnsiTheme="majorHAnsi" w:cs="Arial"/>
          <w:sz w:val="24"/>
          <w:szCs w:val="24"/>
        </w:rPr>
        <w:t xml:space="preserve">have </w:t>
      </w:r>
      <w:r w:rsidR="00EC6D77" w:rsidRPr="00C222CB">
        <w:rPr>
          <w:rFonts w:asciiTheme="majorHAnsi" w:hAnsiTheme="majorHAnsi" w:cs="Arial"/>
          <w:sz w:val="24"/>
          <w:szCs w:val="24"/>
        </w:rPr>
        <w:t>clo</w:t>
      </w:r>
      <w:r w:rsidR="006D1081">
        <w:rPr>
          <w:rFonts w:asciiTheme="majorHAnsi" w:hAnsiTheme="majorHAnsi" w:cs="Arial"/>
          <w:sz w:val="24"/>
          <w:szCs w:val="24"/>
        </w:rPr>
        <w:t>sed</w:t>
      </w:r>
      <w:r w:rsidR="00FB1433">
        <w:rPr>
          <w:rFonts w:asciiTheme="majorHAnsi" w:hAnsiTheme="majorHAnsi" w:cs="Arial"/>
          <w:sz w:val="24"/>
          <w:szCs w:val="24"/>
        </w:rPr>
        <w:t xml:space="preserve"> their doors</w:t>
      </w:r>
      <w:r w:rsidR="006D1081">
        <w:rPr>
          <w:rFonts w:asciiTheme="majorHAnsi" w:hAnsiTheme="majorHAnsi" w:cs="Arial"/>
          <w:sz w:val="24"/>
          <w:szCs w:val="24"/>
        </w:rPr>
        <w:t xml:space="preserve"> between 2016 and 2019. C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ombined with the 603 that </w:t>
      </w:r>
      <w:r w:rsidR="00FB1433">
        <w:rPr>
          <w:rFonts w:asciiTheme="majorHAnsi" w:hAnsiTheme="majorHAnsi" w:cs="Arial"/>
          <w:sz w:val="24"/>
          <w:szCs w:val="24"/>
        </w:rPr>
        <w:t>shutdown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between 201</w:t>
      </w:r>
      <w:r w:rsidR="00C62EF3" w:rsidRPr="00C222CB">
        <w:rPr>
          <w:rFonts w:asciiTheme="majorHAnsi" w:hAnsiTheme="majorHAnsi" w:cs="Arial"/>
          <w:sz w:val="24"/>
          <w:szCs w:val="24"/>
        </w:rPr>
        <w:t>2</w:t>
      </w:r>
      <w:r w:rsidR="006B712E" w:rsidRPr="00C222CB">
        <w:rPr>
          <w:rFonts w:asciiTheme="majorHAnsi" w:hAnsiTheme="majorHAnsi" w:cs="Arial"/>
          <w:sz w:val="24"/>
          <w:szCs w:val="24"/>
        </w:rPr>
        <w:t xml:space="preserve"> and 2016, </w:t>
      </w:r>
      <w:r w:rsidRPr="00FB1433">
        <w:rPr>
          <w:rFonts w:asciiTheme="majorHAnsi" w:hAnsiTheme="majorHAnsi" w:cs="Arial"/>
          <w:sz w:val="24"/>
          <w:szCs w:val="24"/>
        </w:rPr>
        <w:t>at least 763</w:t>
      </w:r>
      <w:r w:rsidR="00EC6D77" w:rsidRPr="00FB1433">
        <w:rPr>
          <w:rFonts w:asciiTheme="majorHAnsi" w:hAnsiTheme="majorHAnsi" w:cs="Arial"/>
          <w:sz w:val="24"/>
          <w:szCs w:val="24"/>
        </w:rPr>
        <w:t xml:space="preserve"> youth </w:t>
      </w:r>
      <w:r w:rsidR="00C62EF3" w:rsidRPr="00FB1433">
        <w:rPr>
          <w:rFonts w:asciiTheme="majorHAnsi" w:hAnsiTheme="majorHAnsi" w:cs="Arial"/>
          <w:sz w:val="24"/>
          <w:szCs w:val="24"/>
        </w:rPr>
        <w:t xml:space="preserve">centres have </w:t>
      </w:r>
      <w:r w:rsidR="00964289">
        <w:rPr>
          <w:rFonts w:asciiTheme="majorHAnsi" w:hAnsiTheme="majorHAnsi" w:cs="Arial"/>
          <w:sz w:val="24"/>
          <w:szCs w:val="24"/>
        </w:rPr>
        <w:t>disappeared</w:t>
      </w:r>
      <w:r w:rsidR="00C62EF3" w:rsidRPr="00FB1433">
        <w:rPr>
          <w:rFonts w:asciiTheme="majorHAnsi" w:hAnsiTheme="majorHAnsi" w:cs="Arial"/>
          <w:sz w:val="24"/>
          <w:szCs w:val="24"/>
        </w:rPr>
        <w:t xml:space="preserve"> since 2012</w:t>
      </w:r>
      <w:r w:rsidR="00EC6D77" w:rsidRPr="00FB1433">
        <w:rPr>
          <w:rFonts w:asciiTheme="majorHAnsi" w:hAnsiTheme="majorHAnsi" w:cs="Arial"/>
          <w:sz w:val="24"/>
          <w:szCs w:val="24"/>
        </w:rPr>
        <w:t>.</w:t>
      </w:r>
    </w:p>
    <w:p w14:paraId="715C440D" w14:textId="77777777" w:rsidR="00777014" w:rsidRDefault="00777014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7C8BA25" w14:textId="2080D5BE" w:rsidR="00C77569" w:rsidRDefault="00C77569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Although these cuts have taken place right across the UK, some regions have been</w:t>
      </w:r>
      <w:r w:rsidR="00704909">
        <w:rPr>
          <w:rFonts w:asciiTheme="majorHAnsi" w:hAnsiTheme="majorHAnsi" w:cs="Arial"/>
          <w:sz w:val="24"/>
          <w:szCs w:val="24"/>
        </w:rPr>
        <w:t xml:space="preserve"> hit particularly hard. In the South West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425D25">
        <w:rPr>
          <w:rFonts w:asciiTheme="majorHAnsi" w:hAnsiTheme="majorHAnsi" w:cs="Arial"/>
          <w:sz w:val="24"/>
          <w:szCs w:val="24"/>
        </w:rPr>
        <w:t xml:space="preserve">more than 30 youth centres have closed, with the loss of over 200 jobs. The North West, South East and West Midlands all </w:t>
      </w:r>
      <w:r w:rsidR="00F45489">
        <w:rPr>
          <w:rFonts w:asciiTheme="majorHAnsi" w:hAnsiTheme="majorHAnsi" w:cs="Arial"/>
          <w:sz w:val="24"/>
          <w:szCs w:val="24"/>
        </w:rPr>
        <w:t>saw 20 or more youth centres go</w:t>
      </w:r>
      <w:r w:rsidR="00425D25">
        <w:rPr>
          <w:rFonts w:asciiTheme="majorHAnsi" w:hAnsiTheme="majorHAnsi" w:cs="Arial"/>
          <w:sz w:val="24"/>
          <w:szCs w:val="24"/>
        </w:rPr>
        <w:t xml:space="preserve">, while the North East, South East and Yorkshire &amp; Humberside areas </w:t>
      </w:r>
      <w:r w:rsidR="0001320A">
        <w:rPr>
          <w:rFonts w:asciiTheme="majorHAnsi" w:hAnsiTheme="majorHAnsi" w:cs="Arial"/>
          <w:sz w:val="24"/>
          <w:szCs w:val="24"/>
        </w:rPr>
        <w:t>each</w:t>
      </w:r>
      <w:r w:rsidR="00425D25">
        <w:rPr>
          <w:rFonts w:asciiTheme="majorHAnsi" w:hAnsiTheme="majorHAnsi" w:cs="Arial"/>
          <w:sz w:val="24"/>
          <w:szCs w:val="24"/>
        </w:rPr>
        <w:t xml:space="preserve"> lost more than 100 youth work jobs.</w:t>
      </w:r>
    </w:p>
    <w:p w14:paraId="709B17CC" w14:textId="77777777" w:rsidR="005636F0" w:rsidRPr="00C222CB" w:rsidRDefault="005636F0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8ECDA82" w14:textId="77777777" w:rsidR="005636F0" w:rsidRPr="00C222CB" w:rsidRDefault="005636F0" w:rsidP="005636F0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>Table 2: The collapse of youth services in the UK, 2012-19</w:t>
      </w:r>
    </w:p>
    <w:p w14:paraId="01876833" w14:textId="77777777" w:rsidR="005636F0" w:rsidRPr="00C222CB" w:rsidRDefault="005636F0" w:rsidP="005636F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037"/>
        <w:gridCol w:w="1044"/>
        <w:gridCol w:w="1044"/>
        <w:gridCol w:w="1045"/>
        <w:gridCol w:w="1045"/>
        <w:gridCol w:w="1045"/>
        <w:gridCol w:w="1045"/>
        <w:gridCol w:w="1045"/>
        <w:gridCol w:w="892"/>
      </w:tblGrid>
      <w:tr w:rsidR="005636F0" w:rsidRPr="00C222CB" w14:paraId="4141EE84" w14:textId="77777777" w:rsidTr="00FB1433">
        <w:tc>
          <w:tcPr>
            <w:tcW w:w="1037" w:type="dxa"/>
          </w:tcPr>
          <w:p w14:paraId="42B51E21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D1144AF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2012/</w:t>
            </w:r>
          </w:p>
          <w:p w14:paraId="3951BB45" w14:textId="5A84BBDF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1044" w:type="dxa"/>
          </w:tcPr>
          <w:p w14:paraId="1347EA4A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2013/</w:t>
            </w:r>
          </w:p>
          <w:p w14:paraId="0F8A1EDC" w14:textId="48F3DD98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14:paraId="4E88D959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2014/</w:t>
            </w:r>
          </w:p>
          <w:p w14:paraId="40CE9AC4" w14:textId="73070FF5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14:paraId="70FC2808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2015/</w:t>
            </w:r>
          </w:p>
          <w:p w14:paraId="5114178F" w14:textId="1498A8D4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14:paraId="3F919279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2016/</w:t>
            </w:r>
          </w:p>
          <w:p w14:paraId="0AD8B84C" w14:textId="4EAD1468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14:paraId="60F4BB90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2017/</w:t>
            </w:r>
          </w:p>
          <w:p w14:paraId="3722EBF0" w14:textId="27CC5EBA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14:paraId="665AD01F" w14:textId="77777777" w:rsidR="00FB1433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2018/</w:t>
            </w:r>
          </w:p>
          <w:p w14:paraId="51C23618" w14:textId="44EF2B33" w:rsidR="005636F0" w:rsidRPr="004E6E89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E6E89"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14:paraId="22A223BE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Total 2012-19</w:t>
            </w:r>
          </w:p>
        </w:tc>
      </w:tr>
      <w:tr w:rsidR="005636F0" w:rsidRPr="00C222CB" w14:paraId="412B25F1" w14:textId="77777777" w:rsidTr="00FB1433">
        <w:tc>
          <w:tcPr>
            <w:tcW w:w="1037" w:type="dxa"/>
          </w:tcPr>
          <w:p w14:paraId="1968042A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Youth work jobs lost</w:t>
            </w:r>
          </w:p>
        </w:tc>
        <w:tc>
          <w:tcPr>
            <w:tcW w:w="1044" w:type="dxa"/>
          </w:tcPr>
          <w:p w14:paraId="46747A4D" w14:textId="2FC8325F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4E6E89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C222CB">
              <w:rPr>
                <w:rFonts w:asciiTheme="majorHAnsi" w:hAnsiTheme="majorHAnsi" w:cs="Arial"/>
                <w:sz w:val="24"/>
                <w:szCs w:val="24"/>
              </w:rPr>
              <w:t>126</w:t>
            </w:r>
          </w:p>
        </w:tc>
        <w:tc>
          <w:tcPr>
            <w:tcW w:w="1044" w:type="dxa"/>
          </w:tcPr>
          <w:p w14:paraId="7D84BAE7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864</w:t>
            </w:r>
          </w:p>
        </w:tc>
        <w:tc>
          <w:tcPr>
            <w:tcW w:w="1045" w:type="dxa"/>
          </w:tcPr>
          <w:p w14:paraId="68033570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894</w:t>
            </w:r>
          </w:p>
        </w:tc>
        <w:tc>
          <w:tcPr>
            <w:tcW w:w="1045" w:type="dxa"/>
          </w:tcPr>
          <w:p w14:paraId="5E25FDE6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768</w:t>
            </w:r>
          </w:p>
        </w:tc>
        <w:tc>
          <w:tcPr>
            <w:tcW w:w="1045" w:type="dxa"/>
          </w:tcPr>
          <w:p w14:paraId="728A5630" w14:textId="77777777" w:rsidR="005636F0" w:rsidRPr="00C222CB" w:rsidRDefault="007A2DB6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431</w:t>
            </w:r>
          </w:p>
        </w:tc>
        <w:tc>
          <w:tcPr>
            <w:tcW w:w="1045" w:type="dxa"/>
          </w:tcPr>
          <w:p w14:paraId="40197662" w14:textId="77777777" w:rsidR="005636F0" w:rsidRPr="00C222CB" w:rsidRDefault="007A2DB6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245</w:t>
            </w:r>
          </w:p>
        </w:tc>
        <w:tc>
          <w:tcPr>
            <w:tcW w:w="1045" w:type="dxa"/>
          </w:tcPr>
          <w:p w14:paraId="2BDF6CB0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7A2DB6" w:rsidRPr="00C222CB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892" w:type="dxa"/>
          </w:tcPr>
          <w:p w14:paraId="355962AC" w14:textId="2E414632" w:rsidR="005636F0" w:rsidRPr="00C222CB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4E6E89"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="007A2DB6" w:rsidRPr="00C222CB">
              <w:rPr>
                <w:rFonts w:asciiTheme="majorHAnsi" w:hAnsiTheme="majorHAnsi" w:cs="Arial"/>
                <w:b/>
                <w:sz w:val="24"/>
                <w:szCs w:val="24"/>
              </w:rPr>
              <w:t>544</w:t>
            </w:r>
          </w:p>
        </w:tc>
      </w:tr>
      <w:tr w:rsidR="005636F0" w:rsidRPr="00C222CB" w14:paraId="6F746E35" w14:textId="77777777" w:rsidTr="00FB1433">
        <w:tc>
          <w:tcPr>
            <w:tcW w:w="1037" w:type="dxa"/>
          </w:tcPr>
          <w:p w14:paraId="2F5B7701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Youth centres closed</w:t>
            </w:r>
          </w:p>
        </w:tc>
        <w:tc>
          <w:tcPr>
            <w:tcW w:w="1044" w:type="dxa"/>
          </w:tcPr>
          <w:p w14:paraId="62F11CC8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175</w:t>
            </w:r>
          </w:p>
        </w:tc>
        <w:tc>
          <w:tcPr>
            <w:tcW w:w="1044" w:type="dxa"/>
          </w:tcPr>
          <w:p w14:paraId="56EA0011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184</w:t>
            </w:r>
          </w:p>
        </w:tc>
        <w:tc>
          <w:tcPr>
            <w:tcW w:w="1045" w:type="dxa"/>
          </w:tcPr>
          <w:p w14:paraId="6A117D17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126</w:t>
            </w:r>
          </w:p>
        </w:tc>
        <w:tc>
          <w:tcPr>
            <w:tcW w:w="1045" w:type="dxa"/>
          </w:tcPr>
          <w:p w14:paraId="3BF8D14B" w14:textId="77777777" w:rsidR="005636F0" w:rsidRPr="00C222CB" w:rsidRDefault="005636F0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118</w:t>
            </w:r>
          </w:p>
        </w:tc>
        <w:tc>
          <w:tcPr>
            <w:tcW w:w="1045" w:type="dxa"/>
          </w:tcPr>
          <w:p w14:paraId="53820056" w14:textId="77777777" w:rsidR="005636F0" w:rsidRPr="00C222CB" w:rsidRDefault="007A2DB6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5636F0" w:rsidRPr="00C222CB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14:paraId="3D53D821" w14:textId="77777777" w:rsidR="005636F0" w:rsidRPr="00C222CB" w:rsidRDefault="007A2DB6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65</w:t>
            </w:r>
          </w:p>
        </w:tc>
        <w:tc>
          <w:tcPr>
            <w:tcW w:w="1045" w:type="dxa"/>
          </w:tcPr>
          <w:p w14:paraId="5497519D" w14:textId="77777777" w:rsidR="005636F0" w:rsidRPr="00C222CB" w:rsidRDefault="007A2DB6" w:rsidP="004E6E89">
            <w:pPr>
              <w:jc w:val="right"/>
              <w:rPr>
                <w:rFonts w:asciiTheme="majorHAnsi" w:hAnsiTheme="majorHAnsi" w:cs="Arial"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892" w:type="dxa"/>
          </w:tcPr>
          <w:p w14:paraId="4C22D5E4" w14:textId="77777777" w:rsidR="005636F0" w:rsidRPr="00C222CB" w:rsidRDefault="007A2DB6" w:rsidP="004E6E89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22CB">
              <w:rPr>
                <w:rFonts w:asciiTheme="majorHAnsi" w:hAnsiTheme="majorHAnsi" w:cs="Arial"/>
                <w:b/>
                <w:sz w:val="24"/>
                <w:szCs w:val="24"/>
              </w:rPr>
              <w:t>763</w:t>
            </w:r>
          </w:p>
        </w:tc>
      </w:tr>
    </w:tbl>
    <w:p w14:paraId="2659199F" w14:textId="77777777" w:rsidR="00FB1433" w:rsidRDefault="00FB1433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ACD870E" w14:textId="77777777" w:rsidR="00EC6D77" w:rsidRPr="00C222CB" w:rsidRDefault="00EC6D77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 xml:space="preserve">What youth workers </w:t>
      </w:r>
      <w:r w:rsidR="00C222CB">
        <w:rPr>
          <w:rFonts w:asciiTheme="majorHAnsi" w:hAnsiTheme="majorHAnsi" w:cs="Arial"/>
          <w:b/>
          <w:sz w:val="24"/>
          <w:szCs w:val="24"/>
        </w:rPr>
        <w:t>are saying</w:t>
      </w:r>
    </w:p>
    <w:p w14:paraId="79C3045E" w14:textId="58F548DA" w:rsidR="001E4509" w:rsidRDefault="00EC6D77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>In June 2018, UNISON carried out a survey of</w:t>
      </w:r>
      <w:r w:rsidR="00901A69" w:rsidRPr="00C222CB">
        <w:rPr>
          <w:rFonts w:asciiTheme="majorHAnsi" w:hAnsiTheme="majorHAnsi" w:cs="Arial"/>
          <w:sz w:val="24"/>
          <w:szCs w:val="24"/>
        </w:rPr>
        <w:t xml:space="preserve"> 21,000</w:t>
      </w:r>
      <w:r w:rsidRPr="00C222CB">
        <w:rPr>
          <w:rFonts w:asciiTheme="majorHAnsi" w:hAnsiTheme="majorHAnsi" w:cs="Arial"/>
          <w:sz w:val="24"/>
          <w:szCs w:val="24"/>
        </w:rPr>
        <w:t xml:space="preserve"> </w:t>
      </w:r>
      <w:r w:rsidR="00C222CB">
        <w:rPr>
          <w:rFonts w:asciiTheme="majorHAnsi" w:hAnsiTheme="majorHAnsi" w:cs="Arial"/>
          <w:sz w:val="24"/>
          <w:szCs w:val="24"/>
        </w:rPr>
        <w:t>local government</w:t>
      </w:r>
      <w:r w:rsidRPr="00C222CB">
        <w:rPr>
          <w:rFonts w:asciiTheme="majorHAnsi" w:hAnsiTheme="majorHAnsi" w:cs="Arial"/>
          <w:sz w:val="24"/>
          <w:szCs w:val="24"/>
        </w:rPr>
        <w:t xml:space="preserve"> </w:t>
      </w:r>
      <w:r w:rsidR="001E4509">
        <w:rPr>
          <w:rFonts w:asciiTheme="majorHAnsi" w:hAnsiTheme="majorHAnsi" w:cs="Arial"/>
          <w:sz w:val="24"/>
          <w:szCs w:val="24"/>
        </w:rPr>
        <w:t xml:space="preserve">workers </w:t>
      </w:r>
      <w:r w:rsidRPr="00C222CB">
        <w:rPr>
          <w:rFonts w:asciiTheme="majorHAnsi" w:hAnsiTheme="majorHAnsi" w:cs="Arial"/>
          <w:sz w:val="24"/>
          <w:szCs w:val="24"/>
        </w:rPr>
        <w:t>a</w:t>
      </w:r>
      <w:r w:rsidR="00B7653F">
        <w:rPr>
          <w:rFonts w:asciiTheme="majorHAnsi" w:hAnsiTheme="majorHAnsi" w:cs="Arial"/>
          <w:sz w:val="24"/>
          <w:szCs w:val="24"/>
        </w:rPr>
        <w:t>round</w:t>
      </w:r>
      <w:r w:rsidRPr="00C222CB">
        <w:rPr>
          <w:rFonts w:asciiTheme="majorHAnsi" w:hAnsiTheme="majorHAnsi" w:cs="Arial"/>
          <w:sz w:val="24"/>
          <w:szCs w:val="24"/>
        </w:rPr>
        <w:t xml:space="preserve"> the extent and impact of </w:t>
      </w:r>
      <w:r w:rsidR="004E6E89">
        <w:rPr>
          <w:rFonts w:asciiTheme="majorHAnsi" w:hAnsiTheme="majorHAnsi" w:cs="Arial"/>
          <w:sz w:val="24"/>
          <w:szCs w:val="24"/>
        </w:rPr>
        <w:t>the</w:t>
      </w:r>
      <w:r w:rsidR="007F59B5">
        <w:rPr>
          <w:rFonts w:asciiTheme="majorHAnsi" w:hAnsiTheme="majorHAnsi" w:cs="Arial"/>
          <w:sz w:val="24"/>
          <w:szCs w:val="24"/>
        </w:rPr>
        <w:t xml:space="preserve"> </w:t>
      </w:r>
      <w:r w:rsidRPr="00C222CB">
        <w:rPr>
          <w:rFonts w:asciiTheme="majorHAnsi" w:hAnsiTheme="majorHAnsi" w:cs="Arial"/>
          <w:sz w:val="24"/>
          <w:szCs w:val="24"/>
        </w:rPr>
        <w:t xml:space="preserve">cuts. </w:t>
      </w:r>
      <w:r w:rsidR="00C222CB">
        <w:rPr>
          <w:rFonts w:asciiTheme="majorHAnsi" w:hAnsiTheme="majorHAnsi" w:cs="Arial"/>
          <w:sz w:val="24"/>
          <w:szCs w:val="24"/>
        </w:rPr>
        <w:t xml:space="preserve">A total of 310 youth workers responded. </w:t>
      </w:r>
    </w:p>
    <w:p w14:paraId="498B73A6" w14:textId="77777777" w:rsidR="001E4509" w:rsidRDefault="001E4509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5E0778F" w14:textId="77777777" w:rsidR="00EC6D77" w:rsidRPr="001E4509" w:rsidRDefault="001E4509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E4509">
        <w:rPr>
          <w:rFonts w:asciiTheme="majorHAnsi" w:hAnsiTheme="majorHAnsi" w:cs="Arial"/>
          <w:b/>
          <w:sz w:val="24"/>
          <w:szCs w:val="24"/>
        </w:rPr>
        <w:t>K</w:t>
      </w:r>
      <w:r w:rsidR="00EC6D77" w:rsidRPr="001E4509">
        <w:rPr>
          <w:rFonts w:asciiTheme="majorHAnsi" w:hAnsiTheme="majorHAnsi" w:cs="Arial"/>
          <w:b/>
          <w:sz w:val="24"/>
          <w:szCs w:val="24"/>
        </w:rPr>
        <w:t>ey findings:</w:t>
      </w:r>
    </w:p>
    <w:p w14:paraId="0F574AAC" w14:textId="5B92DCF4" w:rsidR="00EC6D77" w:rsidRPr="00C222CB" w:rsidRDefault="004E6E89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Less than</w:t>
      </w:r>
      <w:r w:rsidR="001E4509">
        <w:rPr>
          <w:rFonts w:asciiTheme="majorHAnsi" w:hAnsiTheme="majorHAnsi" w:cs="Arial"/>
          <w:sz w:val="24"/>
          <w:szCs w:val="24"/>
        </w:rPr>
        <w:t xml:space="preserve"> one in five (17%) </w:t>
      </w:r>
      <w:r w:rsidR="00EC6D77" w:rsidRPr="00C222CB">
        <w:rPr>
          <w:rFonts w:asciiTheme="majorHAnsi" w:hAnsiTheme="majorHAnsi" w:cs="Arial"/>
          <w:sz w:val="24"/>
          <w:szCs w:val="24"/>
        </w:rPr>
        <w:t>think the quality of services has improved in the past two years</w:t>
      </w:r>
    </w:p>
    <w:p w14:paraId="22D851EC" w14:textId="13C19154" w:rsidR="00EC6D77" w:rsidRPr="00C222CB" w:rsidRDefault="00F45489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Just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</w:t>
      </w:r>
      <w:r w:rsidR="001E4509">
        <w:rPr>
          <w:rFonts w:asciiTheme="majorHAnsi" w:hAnsiTheme="majorHAnsi" w:cs="Arial"/>
          <w:sz w:val="24"/>
          <w:szCs w:val="24"/>
        </w:rPr>
        <w:t>half (</w:t>
      </w:r>
      <w:r w:rsidR="00EC6D77" w:rsidRPr="00C222CB">
        <w:rPr>
          <w:rFonts w:asciiTheme="majorHAnsi" w:hAnsiTheme="majorHAnsi" w:cs="Arial"/>
          <w:sz w:val="24"/>
          <w:szCs w:val="24"/>
        </w:rPr>
        <w:t>53%</w:t>
      </w:r>
      <w:r w:rsidR="001E4509">
        <w:rPr>
          <w:rFonts w:asciiTheme="majorHAnsi" w:hAnsiTheme="majorHAnsi" w:cs="Arial"/>
          <w:sz w:val="24"/>
          <w:szCs w:val="24"/>
        </w:rPr>
        <w:t>)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think that the council is delivering quality services</w:t>
      </w:r>
    </w:p>
    <w:p w14:paraId="5FCB8F5E" w14:textId="67321961" w:rsidR="00EC6D77" w:rsidRPr="00C222CB" w:rsidRDefault="001E4509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Seven in </w:t>
      </w:r>
      <w:r w:rsidR="004E6E89">
        <w:rPr>
          <w:rFonts w:asciiTheme="majorHAnsi" w:hAnsiTheme="majorHAnsi" w:cs="Arial"/>
          <w:sz w:val="24"/>
          <w:szCs w:val="24"/>
        </w:rPr>
        <w:t>ten</w:t>
      </w:r>
      <w:r>
        <w:rPr>
          <w:rFonts w:asciiTheme="majorHAnsi" w:hAnsiTheme="majorHAnsi" w:cs="Arial"/>
          <w:sz w:val="24"/>
          <w:szCs w:val="24"/>
        </w:rPr>
        <w:t xml:space="preserve"> (</w:t>
      </w:r>
      <w:r w:rsidR="00EC6D77" w:rsidRPr="00C222CB">
        <w:rPr>
          <w:rFonts w:asciiTheme="majorHAnsi" w:hAnsiTheme="majorHAnsi" w:cs="Arial"/>
          <w:sz w:val="24"/>
          <w:szCs w:val="24"/>
        </w:rPr>
        <w:t>73%</w:t>
      </w:r>
      <w:r>
        <w:rPr>
          <w:rFonts w:asciiTheme="majorHAnsi" w:hAnsiTheme="majorHAnsi" w:cs="Arial"/>
          <w:sz w:val="24"/>
          <w:szCs w:val="24"/>
        </w:rPr>
        <w:t>)</w:t>
      </w:r>
      <w:r w:rsidR="00F45489">
        <w:rPr>
          <w:rFonts w:asciiTheme="majorHAnsi" w:hAnsiTheme="majorHAnsi" w:cs="Arial"/>
          <w:sz w:val="24"/>
          <w:szCs w:val="24"/>
        </w:rPr>
        <w:t xml:space="preserve"> say local residents don’</w:t>
      </w:r>
      <w:r w:rsidR="00EC6D77" w:rsidRPr="00C222CB">
        <w:rPr>
          <w:rFonts w:asciiTheme="majorHAnsi" w:hAnsiTheme="majorHAnsi" w:cs="Arial"/>
          <w:sz w:val="24"/>
          <w:szCs w:val="24"/>
        </w:rPr>
        <w:t>t receive the help and support they need at the right time</w:t>
      </w:r>
    </w:p>
    <w:p w14:paraId="1F47F1AD" w14:textId="52002C23" w:rsidR="00EC6D77" w:rsidRPr="00C222CB" w:rsidRDefault="001E4509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Nine in </w:t>
      </w:r>
      <w:r w:rsidR="004E6E89">
        <w:rPr>
          <w:rFonts w:asciiTheme="majorHAnsi" w:hAnsiTheme="majorHAnsi" w:cs="Arial"/>
          <w:sz w:val="24"/>
          <w:szCs w:val="24"/>
        </w:rPr>
        <w:t>ten</w:t>
      </w:r>
      <w:r>
        <w:rPr>
          <w:rFonts w:asciiTheme="majorHAnsi" w:hAnsiTheme="majorHAnsi" w:cs="Arial"/>
          <w:sz w:val="24"/>
          <w:szCs w:val="24"/>
        </w:rPr>
        <w:t xml:space="preserve"> (</w:t>
      </w:r>
      <w:r w:rsidR="00EC6D77" w:rsidRPr="00C222CB">
        <w:rPr>
          <w:rFonts w:asciiTheme="majorHAnsi" w:hAnsiTheme="majorHAnsi" w:cs="Arial"/>
          <w:sz w:val="24"/>
          <w:szCs w:val="24"/>
        </w:rPr>
        <w:t>90%</w:t>
      </w:r>
      <w:r>
        <w:rPr>
          <w:rFonts w:asciiTheme="majorHAnsi" w:hAnsiTheme="majorHAnsi" w:cs="Arial"/>
          <w:sz w:val="24"/>
          <w:szCs w:val="24"/>
        </w:rPr>
        <w:t>)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say cuts have an impact on their work</w:t>
      </w:r>
    </w:p>
    <w:p w14:paraId="260F3C3C" w14:textId="385964A2" w:rsidR="00EC6D77" w:rsidRPr="00C222CB" w:rsidRDefault="004E6E89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More than f</w:t>
      </w:r>
      <w:r w:rsidR="0095320F">
        <w:rPr>
          <w:rFonts w:asciiTheme="majorHAnsi" w:hAnsiTheme="majorHAnsi" w:cs="Arial"/>
          <w:sz w:val="24"/>
          <w:szCs w:val="24"/>
        </w:rPr>
        <w:t xml:space="preserve">our in five (84%) </w:t>
      </w:r>
      <w:r w:rsidR="00EC6D77" w:rsidRPr="00C222CB">
        <w:rPr>
          <w:rFonts w:asciiTheme="majorHAnsi" w:hAnsiTheme="majorHAnsi" w:cs="Arial"/>
          <w:sz w:val="24"/>
          <w:szCs w:val="24"/>
        </w:rPr>
        <w:t>are not confident about the future of local services</w:t>
      </w:r>
    </w:p>
    <w:p w14:paraId="3186A117" w14:textId="6BAA2483" w:rsidR="0095320F" w:rsidRPr="00C222CB" w:rsidRDefault="0095320F" w:rsidP="0095320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similar number (</w:t>
      </w:r>
      <w:r w:rsidRPr="00C222CB">
        <w:rPr>
          <w:rFonts w:asciiTheme="majorHAnsi" w:hAnsiTheme="majorHAnsi" w:cs="Arial"/>
          <w:sz w:val="24"/>
          <w:szCs w:val="24"/>
        </w:rPr>
        <w:t>82%</w:t>
      </w:r>
      <w:r>
        <w:rPr>
          <w:rFonts w:asciiTheme="majorHAnsi" w:hAnsiTheme="majorHAnsi" w:cs="Arial"/>
          <w:sz w:val="24"/>
          <w:szCs w:val="24"/>
        </w:rPr>
        <w:t>)</w:t>
      </w:r>
      <w:r w:rsidR="00B7653F">
        <w:rPr>
          <w:rFonts w:asciiTheme="majorHAnsi" w:hAnsiTheme="majorHAnsi" w:cs="Arial"/>
          <w:sz w:val="24"/>
          <w:szCs w:val="24"/>
        </w:rPr>
        <w:t xml:space="preserve"> say </w:t>
      </w:r>
      <w:r w:rsidRPr="00C222CB">
        <w:rPr>
          <w:rFonts w:asciiTheme="majorHAnsi" w:hAnsiTheme="majorHAnsi" w:cs="Arial"/>
          <w:sz w:val="24"/>
          <w:szCs w:val="24"/>
        </w:rPr>
        <w:t xml:space="preserve">jobs have been cut </w:t>
      </w:r>
    </w:p>
    <w:p w14:paraId="14DEBA49" w14:textId="4C13A127" w:rsidR="00EC6D77" w:rsidRPr="00C222CB" w:rsidRDefault="0095320F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Seven in </w:t>
      </w:r>
      <w:r w:rsidR="004E6E89">
        <w:rPr>
          <w:rFonts w:asciiTheme="majorHAnsi" w:hAnsiTheme="majorHAnsi" w:cs="Arial"/>
          <w:sz w:val="24"/>
          <w:szCs w:val="24"/>
        </w:rPr>
        <w:t>ten</w:t>
      </w:r>
      <w:r>
        <w:rPr>
          <w:rFonts w:asciiTheme="majorHAnsi" w:hAnsiTheme="majorHAnsi" w:cs="Arial"/>
          <w:sz w:val="24"/>
          <w:szCs w:val="24"/>
        </w:rPr>
        <w:t xml:space="preserve"> (71%) </w:t>
      </w:r>
      <w:r w:rsidR="00B7653F">
        <w:rPr>
          <w:rFonts w:asciiTheme="majorHAnsi" w:hAnsiTheme="majorHAnsi" w:cs="Arial"/>
          <w:sz w:val="24"/>
          <w:szCs w:val="24"/>
        </w:rPr>
        <w:t>aren’</w:t>
      </w:r>
      <w:r w:rsidR="00EC6D77" w:rsidRPr="00C222CB">
        <w:rPr>
          <w:rFonts w:asciiTheme="majorHAnsi" w:hAnsiTheme="majorHAnsi" w:cs="Arial"/>
          <w:sz w:val="24"/>
          <w:szCs w:val="24"/>
        </w:rPr>
        <w:t>t confident in the financial situation of their employer</w:t>
      </w:r>
    </w:p>
    <w:p w14:paraId="3F9D4E92" w14:textId="734DA9F3" w:rsidR="00EC6D77" w:rsidRPr="00C222CB" w:rsidRDefault="004E6E89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More than h</w:t>
      </w:r>
      <w:r w:rsidR="0095320F">
        <w:rPr>
          <w:rFonts w:asciiTheme="majorHAnsi" w:hAnsiTheme="majorHAnsi" w:cs="Arial"/>
          <w:sz w:val="24"/>
          <w:szCs w:val="24"/>
        </w:rPr>
        <w:t>alf (</w:t>
      </w:r>
      <w:r w:rsidR="00EC6D77" w:rsidRPr="00C222CB">
        <w:rPr>
          <w:rFonts w:asciiTheme="majorHAnsi" w:hAnsiTheme="majorHAnsi" w:cs="Arial"/>
          <w:sz w:val="24"/>
          <w:szCs w:val="24"/>
        </w:rPr>
        <w:t>53%</w:t>
      </w:r>
      <w:r w:rsidR="0095320F">
        <w:rPr>
          <w:rFonts w:asciiTheme="majorHAnsi" w:hAnsiTheme="majorHAnsi" w:cs="Arial"/>
          <w:sz w:val="24"/>
          <w:szCs w:val="24"/>
        </w:rPr>
        <w:t>)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are thinking about leaving their job for something less stressful</w:t>
      </w:r>
    </w:p>
    <w:p w14:paraId="10DC1EE5" w14:textId="7E6E3345" w:rsidR="00EC6D77" w:rsidRPr="00C222CB" w:rsidRDefault="0095320F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Two in five (</w:t>
      </w:r>
      <w:r w:rsidR="00EC6D77" w:rsidRPr="00C222CB">
        <w:rPr>
          <w:rFonts w:asciiTheme="majorHAnsi" w:hAnsiTheme="majorHAnsi" w:cs="Arial"/>
          <w:sz w:val="24"/>
          <w:szCs w:val="24"/>
        </w:rPr>
        <w:t>41%</w:t>
      </w:r>
      <w:r>
        <w:rPr>
          <w:rFonts w:asciiTheme="majorHAnsi" w:hAnsiTheme="majorHAnsi" w:cs="Arial"/>
          <w:sz w:val="24"/>
          <w:szCs w:val="24"/>
        </w:rPr>
        <w:t>)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are think</w:t>
      </w:r>
      <w:r w:rsidR="004E6E89">
        <w:rPr>
          <w:rFonts w:asciiTheme="majorHAnsi" w:hAnsiTheme="majorHAnsi" w:cs="Arial"/>
          <w:sz w:val="24"/>
          <w:szCs w:val="24"/>
        </w:rPr>
        <w:t xml:space="preserve">ing about leaving their job for </w:t>
      </w:r>
      <w:r w:rsidR="00EC6D77" w:rsidRPr="00C222CB">
        <w:rPr>
          <w:rFonts w:asciiTheme="majorHAnsi" w:hAnsiTheme="majorHAnsi" w:cs="Arial"/>
          <w:sz w:val="24"/>
          <w:szCs w:val="24"/>
        </w:rPr>
        <w:t>better paid</w:t>
      </w:r>
      <w:r w:rsidR="004E6E89">
        <w:rPr>
          <w:rFonts w:asciiTheme="majorHAnsi" w:hAnsiTheme="majorHAnsi" w:cs="Arial"/>
          <w:sz w:val="24"/>
          <w:szCs w:val="24"/>
        </w:rPr>
        <w:t xml:space="preserve"> work</w:t>
      </w:r>
    </w:p>
    <w:p w14:paraId="6799E139" w14:textId="7731A5A3" w:rsidR="00EC6D77" w:rsidRPr="00C222CB" w:rsidRDefault="0095320F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Seven in </w:t>
      </w:r>
      <w:r w:rsidR="004E6E89">
        <w:rPr>
          <w:rFonts w:asciiTheme="majorHAnsi" w:hAnsiTheme="majorHAnsi" w:cs="Arial"/>
          <w:sz w:val="24"/>
          <w:szCs w:val="24"/>
        </w:rPr>
        <w:t>ten</w:t>
      </w:r>
      <w:r>
        <w:rPr>
          <w:rFonts w:asciiTheme="majorHAnsi" w:hAnsiTheme="majorHAnsi" w:cs="Arial"/>
          <w:sz w:val="24"/>
          <w:szCs w:val="24"/>
        </w:rPr>
        <w:t xml:space="preserve"> (</w:t>
      </w:r>
      <w:r w:rsidR="00EC6D77" w:rsidRPr="00C222CB">
        <w:rPr>
          <w:rFonts w:asciiTheme="majorHAnsi" w:hAnsiTheme="majorHAnsi" w:cs="Arial"/>
          <w:sz w:val="24"/>
          <w:szCs w:val="24"/>
        </w:rPr>
        <w:t>74%</w:t>
      </w:r>
      <w:r>
        <w:rPr>
          <w:rFonts w:asciiTheme="majorHAnsi" w:hAnsiTheme="majorHAnsi" w:cs="Arial"/>
          <w:sz w:val="24"/>
          <w:szCs w:val="24"/>
        </w:rPr>
        <w:t>)</w:t>
      </w:r>
      <w:r w:rsidR="00F45489">
        <w:rPr>
          <w:rFonts w:asciiTheme="majorHAnsi" w:hAnsiTheme="majorHAnsi" w:cs="Arial"/>
          <w:sz w:val="24"/>
          <w:szCs w:val="24"/>
        </w:rPr>
        <w:t xml:space="preserve"> don’</w:t>
      </w:r>
      <w:r w:rsidR="00EC6D77" w:rsidRPr="00C222CB">
        <w:rPr>
          <w:rFonts w:asciiTheme="majorHAnsi" w:hAnsiTheme="majorHAnsi" w:cs="Arial"/>
          <w:sz w:val="24"/>
          <w:szCs w:val="24"/>
        </w:rPr>
        <w:t>t feel secure in their job</w:t>
      </w:r>
    </w:p>
    <w:p w14:paraId="121DB0F6" w14:textId="46AC59FF" w:rsidR="001D778E" w:rsidRPr="0001320A" w:rsidRDefault="0095320F" w:rsidP="00F926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A similar number (</w:t>
      </w:r>
      <w:r w:rsidR="00EC6D77" w:rsidRPr="00C222CB">
        <w:rPr>
          <w:rFonts w:asciiTheme="majorHAnsi" w:hAnsiTheme="majorHAnsi" w:cs="Arial"/>
          <w:sz w:val="24"/>
          <w:szCs w:val="24"/>
        </w:rPr>
        <w:t>70%</w:t>
      </w:r>
      <w:r>
        <w:rPr>
          <w:rFonts w:asciiTheme="majorHAnsi" w:hAnsiTheme="majorHAnsi" w:cs="Arial"/>
          <w:sz w:val="24"/>
          <w:szCs w:val="24"/>
        </w:rPr>
        <w:t>)</w:t>
      </w:r>
      <w:r w:rsidR="00EC6D77" w:rsidRPr="00C222CB">
        <w:rPr>
          <w:rFonts w:asciiTheme="majorHAnsi" w:hAnsiTheme="majorHAnsi" w:cs="Arial"/>
          <w:sz w:val="24"/>
          <w:szCs w:val="24"/>
        </w:rPr>
        <w:t xml:space="preserve"> are working beyond their contracted hours</w:t>
      </w:r>
      <w:r w:rsidR="00F45489">
        <w:rPr>
          <w:rFonts w:asciiTheme="majorHAnsi" w:hAnsiTheme="majorHAnsi" w:cs="Arial"/>
          <w:sz w:val="24"/>
          <w:szCs w:val="24"/>
        </w:rPr>
        <w:t>.</w:t>
      </w:r>
    </w:p>
    <w:p w14:paraId="181A9AEC" w14:textId="337A4656" w:rsidR="001D778E" w:rsidRPr="00C222CB" w:rsidRDefault="0095320F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findings 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suggest young people are increasingly </w:t>
      </w:r>
      <w:r w:rsidRPr="00C222CB">
        <w:rPr>
          <w:rFonts w:asciiTheme="majorHAnsi" w:hAnsiTheme="majorHAnsi" w:cs="Arial"/>
          <w:sz w:val="24"/>
          <w:szCs w:val="24"/>
        </w:rPr>
        <w:t xml:space="preserve">being put </w:t>
      </w:r>
      <w:r w:rsidR="001D778E" w:rsidRPr="00C222CB">
        <w:rPr>
          <w:rFonts w:asciiTheme="majorHAnsi" w:hAnsiTheme="majorHAnsi" w:cs="Arial"/>
          <w:sz w:val="24"/>
          <w:szCs w:val="24"/>
        </w:rPr>
        <w:t>at risk by the cuts</w:t>
      </w:r>
      <w:r>
        <w:rPr>
          <w:rFonts w:asciiTheme="majorHAnsi" w:hAnsiTheme="majorHAnsi" w:cs="Arial"/>
          <w:sz w:val="24"/>
          <w:szCs w:val="24"/>
        </w:rPr>
        <w:t xml:space="preserve">, as these </w:t>
      </w:r>
      <w:r w:rsidR="00F45489">
        <w:rPr>
          <w:rFonts w:asciiTheme="majorHAnsi" w:hAnsiTheme="majorHAnsi" w:cs="Arial"/>
          <w:sz w:val="24"/>
          <w:szCs w:val="24"/>
        </w:rPr>
        <w:t>youth workers who responded to the survey</w:t>
      </w:r>
      <w:r>
        <w:rPr>
          <w:rFonts w:asciiTheme="majorHAnsi" w:hAnsiTheme="majorHAnsi" w:cs="Arial"/>
          <w:sz w:val="24"/>
          <w:szCs w:val="24"/>
        </w:rPr>
        <w:t xml:space="preserve"> explain</w:t>
      </w:r>
      <w:r w:rsidR="001D778E" w:rsidRPr="00C222CB">
        <w:rPr>
          <w:rFonts w:asciiTheme="majorHAnsi" w:hAnsiTheme="majorHAnsi" w:cs="Arial"/>
          <w:sz w:val="24"/>
          <w:szCs w:val="24"/>
        </w:rPr>
        <w:t>:</w:t>
      </w:r>
    </w:p>
    <w:p w14:paraId="4FB60322" w14:textId="77777777" w:rsidR="001D778E" w:rsidRPr="00C222CB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4A3206C" w14:textId="132DE796" w:rsidR="0095320F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i/>
          <w:sz w:val="24"/>
          <w:szCs w:val="24"/>
        </w:rPr>
        <w:t xml:space="preserve"> “Premises have been significantly cut </w:t>
      </w:r>
      <w:r w:rsidR="004E6E89">
        <w:rPr>
          <w:rFonts w:asciiTheme="majorHAnsi" w:hAnsiTheme="majorHAnsi" w:cs="Arial"/>
          <w:i/>
          <w:sz w:val="24"/>
          <w:szCs w:val="24"/>
        </w:rPr>
        <w:t>so many young people aren’</w:t>
      </w:r>
      <w:r w:rsidRPr="00C222CB">
        <w:rPr>
          <w:rFonts w:asciiTheme="majorHAnsi" w:hAnsiTheme="majorHAnsi" w:cs="Arial"/>
          <w:i/>
          <w:sz w:val="24"/>
          <w:szCs w:val="24"/>
        </w:rPr>
        <w:t>t aware how to access the service</w:t>
      </w:r>
      <w:r w:rsidR="00F45489">
        <w:rPr>
          <w:rFonts w:asciiTheme="majorHAnsi" w:hAnsiTheme="majorHAnsi" w:cs="Arial"/>
          <w:i/>
          <w:sz w:val="24"/>
          <w:szCs w:val="24"/>
        </w:rPr>
        <w:t>, leaving many of them potentially at risk.</w:t>
      </w:r>
      <w:r w:rsidRPr="00C222CB">
        <w:rPr>
          <w:rFonts w:asciiTheme="majorHAnsi" w:hAnsiTheme="majorHAnsi" w:cs="Arial"/>
          <w:i/>
          <w:sz w:val="24"/>
          <w:szCs w:val="24"/>
        </w:rPr>
        <w:t>”</w:t>
      </w:r>
    </w:p>
    <w:p w14:paraId="511F8662" w14:textId="36A6D84C" w:rsidR="001D778E" w:rsidRPr="0095320F" w:rsidRDefault="001D778E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95320F">
        <w:rPr>
          <w:rFonts w:asciiTheme="majorHAnsi" w:hAnsiTheme="majorHAnsi" w:cs="Arial"/>
          <w:b/>
          <w:sz w:val="24"/>
          <w:szCs w:val="24"/>
        </w:rPr>
        <w:t>Liverpool</w:t>
      </w:r>
    </w:p>
    <w:p w14:paraId="41732B74" w14:textId="77777777" w:rsidR="001D778E" w:rsidRPr="00C222CB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A56D069" w14:textId="4F15D9B3" w:rsidR="0095320F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i/>
          <w:sz w:val="24"/>
          <w:szCs w:val="24"/>
        </w:rPr>
        <w:t>“Children's centres and youth services have been closed down for a few years so early intervention support is</w:t>
      </w:r>
      <w:r w:rsidR="004E6E89">
        <w:rPr>
          <w:rFonts w:asciiTheme="majorHAnsi" w:hAnsiTheme="majorHAnsi" w:cs="Arial"/>
          <w:i/>
          <w:sz w:val="24"/>
          <w:szCs w:val="24"/>
        </w:rPr>
        <w:t xml:space="preserve"> no longer</w:t>
      </w:r>
      <w:r w:rsidRPr="00C222CB">
        <w:rPr>
          <w:rFonts w:asciiTheme="majorHAnsi" w:hAnsiTheme="majorHAnsi" w:cs="Arial"/>
          <w:i/>
          <w:sz w:val="24"/>
          <w:szCs w:val="24"/>
        </w:rPr>
        <w:t xml:space="preserve"> available. The early help team now only does targeted work</w:t>
      </w:r>
      <w:r w:rsidR="004E6E89">
        <w:rPr>
          <w:rFonts w:asciiTheme="majorHAnsi" w:hAnsiTheme="majorHAnsi" w:cs="Arial"/>
          <w:i/>
          <w:sz w:val="24"/>
          <w:szCs w:val="24"/>
        </w:rPr>
        <w:t xml:space="preserve"> and </w:t>
      </w:r>
      <w:r w:rsidR="00871500">
        <w:rPr>
          <w:rFonts w:asciiTheme="majorHAnsi" w:hAnsiTheme="majorHAnsi" w:cs="Arial"/>
          <w:i/>
          <w:sz w:val="24"/>
          <w:szCs w:val="24"/>
        </w:rPr>
        <w:t>high-</w:t>
      </w:r>
      <w:r w:rsidRPr="00C222CB">
        <w:rPr>
          <w:rFonts w:asciiTheme="majorHAnsi" w:hAnsiTheme="majorHAnsi" w:cs="Arial"/>
          <w:i/>
          <w:sz w:val="24"/>
          <w:szCs w:val="24"/>
        </w:rPr>
        <w:t>end work f</w:t>
      </w:r>
      <w:r w:rsidR="00F45489">
        <w:rPr>
          <w:rFonts w:asciiTheme="majorHAnsi" w:hAnsiTheme="majorHAnsi" w:cs="Arial"/>
          <w:i/>
          <w:sz w:val="24"/>
          <w:szCs w:val="24"/>
        </w:rPr>
        <w:t xml:space="preserve">or families already in crisis. </w:t>
      </w:r>
      <w:r w:rsidRPr="00C222CB">
        <w:rPr>
          <w:rFonts w:asciiTheme="majorHAnsi" w:hAnsiTheme="majorHAnsi" w:cs="Arial"/>
          <w:i/>
          <w:sz w:val="24"/>
          <w:szCs w:val="24"/>
        </w:rPr>
        <w:t>We see more families reaching crisis point</w:t>
      </w:r>
      <w:r w:rsidR="00F45489">
        <w:rPr>
          <w:rFonts w:asciiTheme="majorHAnsi" w:hAnsiTheme="majorHAnsi" w:cs="Arial"/>
          <w:i/>
          <w:sz w:val="24"/>
          <w:szCs w:val="24"/>
        </w:rPr>
        <w:t>,</w:t>
      </w:r>
      <w:r w:rsidRPr="00C222CB">
        <w:rPr>
          <w:rFonts w:asciiTheme="majorHAnsi" w:hAnsiTheme="majorHAnsi" w:cs="Arial"/>
          <w:i/>
          <w:sz w:val="24"/>
          <w:szCs w:val="24"/>
        </w:rPr>
        <w:t xml:space="preserve"> whereas a few years ago support would</w:t>
      </w:r>
      <w:r w:rsidR="004E6E89">
        <w:rPr>
          <w:rFonts w:asciiTheme="majorHAnsi" w:hAnsiTheme="majorHAnsi" w:cs="Arial"/>
          <w:i/>
          <w:sz w:val="24"/>
          <w:szCs w:val="24"/>
        </w:rPr>
        <w:t xml:space="preserve"> have</w:t>
      </w:r>
      <w:r w:rsidRPr="00C222CB">
        <w:rPr>
          <w:rFonts w:asciiTheme="majorHAnsi" w:hAnsiTheme="majorHAnsi" w:cs="Arial"/>
          <w:i/>
          <w:sz w:val="24"/>
          <w:szCs w:val="24"/>
        </w:rPr>
        <w:t xml:space="preserve"> be offered much sooner to prevent situations reaching that point. This is about to get much worse as there are huge cuts on the </w:t>
      </w:r>
      <w:r w:rsidR="004E6E89">
        <w:rPr>
          <w:rFonts w:asciiTheme="majorHAnsi" w:hAnsiTheme="majorHAnsi" w:cs="Arial"/>
          <w:i/>
          <w:sz w:val="24"/>
          <w:szCs w:val="24"/>
        </w:rPr>
        <w:t>way. U</w:t>
      </w:r>
      <w:r w:rsidRPr="00C222CB">
        <w:rPr>
          <w:rFonts w:asciiTheme="majorHAnsi" w:hAnsiTheme="majorHAnsi" w:cs="Arial"/>
          <w:i/>
          <w:sz w:val="24"/>
          <w:szCs w:val="24"/>
        </w:rPr>
        <w:t>p to 70% of the early help</w:t>
      </w:r>
      <w:r w:rsidR="0095320F">
        <w:rPr>
          <w:rFonts w:asciiTheme="majorHAnsi" w:hAnsiTheme="majorHAnsi" w:cs="Arial"/>
          <w:i/>
          <w:sz w:val="24"/>
          <w:szCs w:val="24"/>
        </w:rPr>
        <w:t xml:space="preserve"> team will be made redundant.” </w:t>
      </w:r>
    </w:p>
    <w:p w14:paraId="6F865316" w14:textId="47AEAE43" w:rsidR="001D778E" w:rsidRPr="004E6E89" w:rsidRDefault="001D778E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4E6E89">
        <w:rPr>
          <w:rFonts w:asciiTheme="majorHAnsi" w:hAnsiTheme="majorHAnsi" w:cs="Arial"/>
          <w:b/>
          <w:sz w:val="24"/>
          <w:szCs w:val="24"/>
        </w:rPr>
        <w:t>Solihull</w:t>
      </w:r>
    </w:p>
    <w:p w14:paraId="0F2E7871" w14:textId="77777777" w:rsidR="001D778E" w:rsidRPr="00C222CB" w:rsidRDefault="001D778E" w:rsidP="00F92663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bookmarkStart w:id="0" w:name="_GoBack"/>
      <w:bookmarkEnd w:id="0"/>
    </w:p>
    <w:p w14:paraId="04CF4DDD" w14:textId="742E34EF" w:rsidR="0095320F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i/>
          <w:sz w:val="24"/>
          <w:szCs w:val="24"/>
        </w:rPr>
        <w:t>“More young people</w:t>
      </w:r>
      <w:r w:rsidR="004E6E89">
        <w:rPr>
          <w:rFonts w:asciiTheme="majorHAnsi" w:hAnsiTheme="majorHAnsi" w:cs="Arial"/>
          <w:i/>
          <w:sz w:val="24"/>
          <w:szCs w:val="24"/>
        </w:rPr>
        <w:t xml:space="preserve"> are</w:t>
      </w:r>
      <w:r w:rsidRPr="00C222CB">
        <w:rPr>
          <w:rFonts w:asciiTheme="majorHAnsi" w:hAnsiTheme="majorHAnsi" w:cs="Arial"/>
          <w:i/>
          <w:sz w:val="24"/>
          <w:szCs w:val="24"/>
        </w:rPr>
        <w:t xml:space="preserve"> suffering with mental health issues and it is escalating. More are taking their own lives and local authorities cannot respond</w:t>
      </w:r>
      <w:r w:rsidR="004E6E89">
        <w:rPr>
          <w:rFonts w:asciiTheme="majorHAnsi" w:hAnsiTheme="majorHAnsi" w:cs="Arial"/>
          <w:i/>
          <w:sz w:val="24"/>
          <w:szCs w:val="24"/>
        </w:rPr>
        <w:t>.</w:t>
      </w:r>
      <w:r w:rsidRPr="00C222CB">
        <w:rPr>
          <w:rFonts w:asciiTheme="majorHAnsi" w:hAnsiTheme="majorHAnsi" w:cs="Arial"/>
          <w:i/>
          <w:sz w:val="24"/>
          <w:szCs w:val="24"/>
        </w:rPr>
        <w:t xml:space="preserve"> </w:t>
      </w:r>
      <w:r w:rsidR="004E6E89">
        <w:rPr>
          <w:rFonts w:asciiTheme="majorHAnsi" w:hAnsiTheme="majorHAnsi" w:cs="Arial"/>
          <w:i/>
          <w:sz w:val="24"/>
          <w:szCs w:val="24"/>
        </w:rPr>
        <w:t>This is because</w:t>
      </w:r>
      <w:r w:rsidRPr="00C222CB">
        <w:rPr>
          <w:rFonts w:asciiTheme="majorHAnsi" w:hAnsiTheme="majorHAnsi" w:cs="Arial"/>
          <w:i/>
          <w:sz w:val="24"/>
          <w:szCs w:val="24"/>
        </w:rPr>
        <w:t xml:space="preserve"> they don't have the funding to employ and deliver a universa</w:t>
      </w:r>
      <w:r w:rsidR="00F45489">
        <w:rPr>
          <w:rFonts w:asciiTheme="majorHAnsi" w:hAnsiTheme="majorHAnsi" w:cs="Arial"/>
          <w:i/>
          <w:sz w:val="24"/>
          <w:szCs w:val="24"/>
        </w:rPr>
        <w:t xml:space="preserve">l </w:t>
      </w:r>
      <w:r w:rsidRPr="00C222CB">
        <w:rPr>
          <w:rFonts w:asciiTheme="majorHAnsi" w:hAnsiTheme="majorHAnsi" w:cs="Arial"/>
          <w:i/>
          <w:sz w:val="24"/>
          <w:szCs w:val="24"/>
        </w:rPr>
        <w:t>accessible service. As a result CAMHS [Community and Adolescent Mental Health Services] are relying on local authority targeted services to carry out work that staff</w:t>
      </w:r>
      <w:r w:rsidR="005037BC" w:rsidRPr="00C222CB">
        <w:rPr>
          <w:rFonts w:asciiTheme="majorHAnsi" w:hAnsiTheme="majorHAnsi" w:cs="Arial"/>
          <w:i/>
          <w:sz w:val="24"/>
          <w:szCs w:val="24"/>
        </w:rPr>
        <w:t xml:space="preserve"> </w:t>
      </w:r>
      <w:r w:rsidR="004E6E89">
        <w:rPr>
          <w:rFonts w:asciiTheme="majorHAnsi" w:hAnsiTheme="majorHAnsi" w:cs="Arial"/>
          <w:i/>
          <w:sz w:val="24"/>
          <w:szCs w:val="24"/>
        </w:rPr>
        <w:t>aren’</w:t>
      </w:r>
      <w:r w:rsidRPr="00C222CB">
        <w:rPr>
          <w:rFonts w:asciiTheme="majorHAnsi" w:hAnsiTheme="majorHAnsi" w:cs="Arial"/>
          <w:i/>
          <w:sz w:val="24"/>
          <w:szCs w:val="24"/>
        </w:rPr>
        <w:t>t qualified to deliver.</w:t>
      </w:r>
      <w:r w:rsidRPr="00C222CB">
        <w:rPr>
          <w:rFonts w:asciiTheme="majorHAnsi" w:hAnsiTheme="majorHAnsi" w:cs="Arial"/>
          <w:sz w:val="24"/>
          <w:szCs w:val="24"/>
        </w:rPr>
        <w:t xml:space="preserve"> </w:t>
      </w:r>
    </w:p>
    <w:p w14:paraId="1FEABD5A" w14:textId="3D82903F" w:rsidR="001D778E" w:rsidRPr="0095320F" w:rsidRDefault="001D778E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95320F">
        <w:rPr>
          <w:rFonts w:asciiTheme="majorHAnsi" w:hAnsiTheme="majorHAnsi" w:cs="Arial"/>
          <w:b/>
          <w:sz w:val="24"/>
          <w:szCs w:val="24"/>
        </w:rPr>
        <w:t>Sutton</w:t>
      </w:r>
    </w:p>
    <w:p w14:paraId="0B6EE3AA" w14:textId="77777777" w:rsidR="002C094B" w:rsidRPr="0095320F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22CB">
        <w:rPr>
          <w:rFonts w:asciiTheme="majorHAnsi" w:hAnsiTheme="majorHAnsi" w:cs="Arial"/>
          <w:sz w:val="24"/>
          <w:szCs w:val="24"/>
        </w:rPr>
        <w:t xml:space="preserve"> </w:t>
      </w:r>
    </w:p>
    <w:p w14:paraId="3820AC8D" w14:textId="77777777" w:rsidR="001D778E" w:rsidRPr="00C222CB" w:rsidRDefault="00CE4097" w:rsidP="00F9266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22CB">
        <w:rPr>
          <w:rFonts w:asciiTheme="majorHAnsi" w:hAnsiTheme="majorHAnsi" w:cs="Arial"/>
          <w:b/>
          <w:sz w:val="24"/>
          <w:szCs w:val="24"/>
        </w:rPr>
        <w:t>UNISON’s</w:t>
      </w:r>
      <w:r w:rsidR="00C62EF3" w:rsidRPr="00C222CB">
        <w:rPr>
          <w:rFonts w:asciiTheme="majorHAnsi" w:hAnsiTheme="majorHAnsi" w:cs="Arial"/>
          <w:b/>
          <w:sz w:val="24"/>
          <w:szCs w:val="24"/>
        </w:rPr>
        <w:t xml:space="preserve"> vision for t</w:t>
      </w:r>
      <w:r w:rsidR="001D778E" w:rsidRPr="00C222CB">
        <w:rPr>
          <w:rFonts w:asciiTheme="majorHAnsi" w:hAnsiTheme="majorHAnsi" w:cs="Arial"/>
          <w:b/>
          <w:sz w:val="24"/>
          <w:szCs w:val="24"/>
        </w:rPr>
        <w:t>he future</w:t>
      </w:r>
    </w:p>
    <w:p w14:paraId="5888751D" w14:textId="69260F84" w:rsidR="001D778E" w:rsidRPr="00C222CB" w:rsidRDefault="0095320F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adical change is needed if youth services </w:t>
      </w:r>
      <w:r w:rsidR="00CD40F5">
        <w:rPr>
          <w:rFonts w:asciiTheme="majorHAnsi" w:hAnsiTheme="majorHAnsi" w:cs="Arial"/>
          <w:sz w:val="24"/>
          <w:szCs w:val="24"/>
        </w:rPr>
        <w:t>are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 to be saved</w:t>
      </w:r>
      <w:r w:rsidR="00CD40F5">
        <w:rPr>
          <w:rFonts w:asciiTheme="majorHAnsi" w:hAnsiTheme="majorHAnsi" w:cs="Arial"/>
          <w:sz w:val="24"/>
          <w:szCs w:val="24"/>
        </w:rPr>
        <w:t xml:space="preserve"> </w:t>
      </w:r>
      <w:r w:rsidR="00F92663" w:rsidRPr="00C222CB">
        <w:rPr>
          <w:rFonts w:asciiTheme="majorHAnsi" w:hAnsiTheme="majorHAnsi" w:cs="Arial"/>
          <w:sz w:val="24"/>
          <w:szCs w:val="24"/>
        </w:rPr>
        <w:t>and allowed to flourish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. UNISON </w:t>
      </w:r>
      <w:r w:rsidR="004E6E89">
        <w:rPr>
          <w:rFonts w:asciiTheme="majorHAnsi" w:hAnsiTheme="majorHAnsi" w:cs="Arial"/>
          <w:sz w:val="24"/>
          <w:szCs w:val="24"/>
        </w:rPr>
        <w:t>w</w:t>
      </w:r>
      <w:r w:rsidR="00F45489">
        <w:rPr>
          <w:rFonts w:asciiTheme="majorHAnsi" w:hAnsiTheme="majorHAnsi" w:cs="Arial"/>
          <w:sz w:val="24"/>
          <w:szCs w:val="24"/>
        </w:rPr>
        <w:t xml:space="preserve">ould like </w:t>
      </w:r>
      <w:r w:rsidR="001D778E" w:rsidRPr="00C222CB">
        <w:rPr>
          <w:rFonts w:asciiTheme="majorHAnsi" w:hAnsiTheme="majorHAnsi" w:cs="Arial"/>
          <w:sz w:val="24"/>
          <w:szCs w:val="24"/>
        </w:rPr>
        <w:t>to see:</w:t>
      </w:r>
    </w:p>
    <w:p w14:paraId="0601B5DA" w14:textId="77777777" w:rsidR="00F92663" w:rsidRPr="00C222CB" w:rsidRDefault="00F92663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AAA1748" w14:textId="77777777" w:rsidR="001D778E" w:rsidRPr="00CD40F5" w:rsidRDefault="001D778E" w:rsidP="00CD40F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D40F5">
        <w:rPr>
          <w:rFonts w:asciiTheme="majorHAnsi" w:hAnsiTheme="majorHAnsi" w:cs="Arial"/>
          <w:b/>
          <w:sz w:val="24"/>
          <w:szCs w:val="24"/>
        </w:rPr>
        <w:t>Fair and full funding for youth services</w:t>
      </w:r>
    </w:p>
    <w:p w14:paraId="3A4BE9A4" w14:textId="171D5C5D" w:rsidR="001D778E" w:rsidRPr="00C222CB" w:rsidRDefault="004E6E89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government has cut </w:t>
      </w:r>
      <w:r w:rsidR="000E62DC">
        <w:rPr>
          <w:rFonts w:asciiTheme="majorHAnsi" w:hAnsiTheme="majorHAnsi" w:cs="Arial"/>
          <w:sz w:val="24"/>
          <w:szCs w:val="24"/>
        </w:rPr>
        <w:t>funding to youth services by £400m since 2010</w:t>
      </w:r>
      <w:r w:rsidR="00777014">
        <w:rPr>
          <w:rFonts w:asciiTheme="majorHAnsi" w:hAnsiTheme="majorHAnsi" w:cs="Arial"/>
          <w:sz w:val="24"/>
          <w:szCs w:val="24"/>
        </w:rPr>
        <w:t>,</w:t>
      </w:r>
      <w:r w:rsidR="000E62DC">
        <w:rPr>
          <w:rFonts w:asciiTheme="majorHAnsi" w:hAnsiTheme="majorHAnsi" w:cs="Arial"/>
          <w:sz w:val="24"/>
          <w:szCs w:val="24"/>
        </w:rPr>
        <w:t xml:space="preserve"> which means s</w:t>
      </w:r>
      <w:r w:rsidR="001D778E" w:rsidRPr="00C222CB">
        <w:rPr>
          <w:rFonts w:asciiTheme="majorHAnsi" w:hAnsiTheme="majorHAnsi" w:cs="Arial"/>
          <w:sz w:val="24"/>
          <w:szCs w:val="24"/>
        </w:rPr>
        <w:t>pending on local authority youth services is a fracti</w:t>
      </w:r>
      <w:r w:rsidR="00CD40F5">
        <w:rPr>
          <w:rFonts w:asciiTheme="majorHAnsi" w:hAnsiTheme="majorHAnsi" w:cs="Arial"/>
          <w:sz w:val="24"/>
          <w:szCs w:val="24"/>
        </w:rPr>
        <w:t>on of what it was a decade ago. T</w:t>
      </w:r>
      <w:r w:rsidR="001D778E" w:rsidRPr="00C222CB">
        <w:rPr>
          <w:rFonts w:asciiTheme="majorHAnsi" w:hAnsiTheme="majorHAnsi" w:cs="Arial"/>
          <w:sz w:val="24"/>
          <w:szCs w:val="24"/>
        </w:rPr>
        <w:t>his is no surp</w:t>
      </w:r>
      <w:r w:rsidR="00CD40F5">
        <w:rPr>
          <w:rFonts w:asciiTheme="majorHAnsi" w:hAnsiTheme="majorHAnsi" w:cs="Arial"/>
          <w:sz w:val="24"/>
          <w:szCs w:val="24"/>
        </w:rPr>
        <w:t xml:space="preserve">rise 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given the billions of pounds of central government funding that has been withdrawn from local authorities. </w:t>
      </w:r>
      <w:r w:rsidR="00CD40F5">
        <w:rPr>
          <w:rFonts w:asciiTheme="majorHAnsi" w:hAnsiTheme="majorHAnsi" w:cs="Arial"/>
          <w:sz w:val="24"/>
          <w:szCs w:val="24"/>
        </w:rPr>
        <w:t>T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here </w:t>
      </w:r>
      <w:r w:rsidR="00CD40F5">
        <w:rPr>
          <w:rFonts w:asciiTheme="majorHAnsi" w:hAnsiTheme="majorHAnsi" w:cs="Arial"/>
          <w:sz w:val="24"/>
          <w:szCs w:val="24"/>
        </w:rPr>
        <w:t xml:space="preserve">needs to be an urgent review of the </w:t>
      </w:r>
      <w:r w:rsidR="001D778E" w:rsidRPr="00C222CB">
        <w:rPr>
          <w:rFonts w:asciiTheme="majorHAnsi" w:hAnsiTheme="majorHAnsi" w:cs="Arial"/>
          <w:sz w:val="24"/>
          <w:szCs w:val="24"/>
        </w:rPr>
        <w:t>local government</w:t>
      </w:r>
      <w:r w:rsidR="00CD40F5">
        <w:rPr>
          <w:rFonts w:asciiTheme="majorHAnsi" w:hAnsiTheme="majorHAnsi" w:cs="Arial"/>
          <w:sz w:val="24"/>
          <w:szCs w:val="24"/>
        </w:rPr>
        <w:t xml:space="preserve"> funding framework</w:t>
      </w:r>
      <w:r w:rsidR="001D778E" w:rsidRPr="00C222CB">
        <w:rPr>
          <w:rFonts w:asciiTheme="majorHAnsi" w:hAnsiTheme="majorHAnsi" w:cs="Arial"/>
          <w:sz w:val="24"/>
          <w:szCs w:val="24"/>
        </w:rPr>
        <w:t>, and of the funding that goes in</w:t>
      </w:r>
      <w:r w:rsidR="00CD40F5">
        <w:rPr>
          <w:rFonts w:asciiTheme="majorHAnsi" w:hAnsiTheme="majorHAnsi" w:cs="Arial"/>
          <w:sz w:val="24"/>
          <w:szCs w:val="24"/>
        </w:rPr>
        <w:t>to it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. If </w:t>
      </w:r>
      <w:r w:rsidR="00901A69" w:rsidRPr="00C222CB">
        <w:rPr>
          <w:rFonts w:asciiTheme="majorHAnsi" w:hAnsiTheme="majorHAnsi" w:cs="Arial"/>
          <w:sz w:val="24"/>
          <w:szCs w:val="24"/>
        </w:rPr>
        <w:t xml:space="preserve">austerity really is coming to an end as </w:t>
      </w:r>
      <w:r w:rsidR="00CD40F5">
        <w:rPr>
          <w:rFonts w:asciiTheme="majorHAnsi" w:hAnsiTheme="majorHAnsi" w:cs="Arial"/>
          <w:sz w:val="24"/>
          <w:szCs w:val="24"/>
        </w:rPr>
        <w:t>the g</w:t>
      </w:r>
      <w:r w:rsidR="001D778E" w:rsidRPr="00C222CB">
        <w:rPr>
          <w:rFonts w:asciiTheme="majorHAnsi" w:hAnsiTheme="majorHAnsi" w:cs="Arial"/>
          <w:sz w:val="24"/>
          <w:szCs w:val="24"/>
        </w:rPr>
        <w:t>overnment</w:t>
      </w:r>
      <w:r w:rsidR="00901A69" w:rsidRPr="00C222CB">
        <w:rPr>
          <w:rFonts w:asciiTheme="majorHAnsi" w:hAnsiTheme="majorHAnsi" w:cs="Arial"/>
          <w:sz w:val="24"/>
          <w:szCs w:val="24"/>
        </w:rPr>
        <w:t xml:space="preserve"> claims,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 it must ensure local authorities</w:t>
      </w:r>
      <w:r w:rsidR="00901A69" w:rsidRPr="00C222CB">
        <w:rPr>
          <w:rFonts w:asciiTheme="majorHAnsi" w:hAnsiTheme="majorHAnsi" w:cs="Arial"/>
          <w:sz w:val="24"/>
          <w:szCs w:val="24"/>
        </w:rPr>
        <w:t xml:space="preserve"> 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get the funding they need to carry out vital work </w:t>
      </w:r>
      <w:r w:rsidR="00CD40F5" w:rsidRPr="00C222CB">
        <w:rPr>
          <w:rFonts w:asciiTheme="majorHAnsi" w:hAnsiTheme="majorHAnsi" w:cs="Arial"/>
          <w:sz w:val="24"/>
          <w:szCs w:val="24"/>
        </w:rPr>
        <w:t>immediately</w:t>
      </w:r>
      <w:r w:rsidR="001D778E" w:rsidRPr="00C222CB">
        <w:rPr>
          <w:rFonts w:asciiTheme="majorHAnsi" w:hAnsiTheme="majorHAnsi" w:cs="Arial"/>
          <w:sz w:val="24"/>
          <w:szCs w:val="24"/>
        </w:rPr>
        <w:t>.</w:t>
      </w:r>
    </w:p>
    <w:p w14:paraId="0D4F132B" w14:textId="77777777" w:rsidR="001D778E" w:rsidRPr="00C222CB" w:rsidRDefault="001D778E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D9F2340" w14:textId="77777777" w:rsidR="001D778E" w:rsidRPr="00CD40F5" w:rsidRDefault="001D778E" w:rsidP="00CD40F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D40F5">
        <w:rPr>
          <w:rFonts w:asciiTheme="majorHAnsi" w:hAnsiTheme="majorHAnsi" w:cs="Arial"/>
          <w:b/>
          <w:sz w:val="24"/>
          <w:szCs w:val="24"/>
        </w:rPr>
        <w:t>A statutory duty to provide youth services</w:t>
      </w:r>
    </w:p>
    <w:p w14:paraId="4D1824CB" w14:textId="77777777" w:rsidR="001D778E" w:rsidRPr="00C222CB" w:rsidRDefault="00CD40F5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urrent rules allow youth service provision to be merged into other services and be provided as part of a broad package of educational and social care measures. </w:t>
      </w:r>
      <w:r>
        <w:rPr>
          <w:rFonts w:asciiTheme="majorHAnsi" w:hAnsiTheme="majorHAnsi" w:cs="Arial"/>
          <w:sz w:val="24"/>
          <w:szCs w:val="24"/>
        </w:rPr>
        <w:t>As a result,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 real youth work is being lost. When youth services go, benefits to young p</w:t>
      </w:r>
      <w:r>
        <w:rPr>
          <w:rFonts w:asciiTheme="majorHAnsi" w:hAnsiTheme="majorHAnsi" w:cs="Arial"/>
          <w:sz w:val="24"/>
          <w:szCs w:val="24"/>
        </w:rPr>
        <w:t xml:space="preserve">eople and communities are lost </w:t>
      </w:r>
      <w:r w:rsidRPr="00C222CB">
        <w:rPr>
          <w:rFonts w:asciiTheme="majorHAnsi" w:hAnsiTheme="majorHAnsi" w:cs="Arial"/>
          <w:sz w:val="24"/>
          <w:szCs w:val="24"/>
        </w:rPr>
        <w:t>–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D778E" w:rsidRPr="00C222CB">
        <w:rPr>
          <w:rFonts w:asciiTheme="majorHAnsi" w:hAnsiTheme="majorHAnsi" w:cs="Arial"/>
          <w:sz w:val="24"/>
          <w:szCs w:val="24"/>
        </w:rPr>
        <w:t>along with the</w:t>
      </w:r>
      <w:r>
        <w:rPr>
          <w:rFonts w:asciiTheme="majorHAnsi" w:hAnsiTheme="majorHAnsi" w:cs="Arial"/>
          <w:sz w:val="24"/>
          <w:szCs w:val="24"/>
        </w:rPr>
        <w:t xml:space="preserve"> resulting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 savings in intervention services </w:t>
      </w:r>
      <w:r>
        <w:rPr>
          <w:rFonts w:asciiTheme="majorHAnsi" w:hAnsiTheme="majorHAnsi" w:cs="Arial"/>
          <w:sz w:val="24"/>
          <w:szCs w:val="24"/>
        </w:rPr>
        <w:t xml:space="preserve">further </w:t>
      </w:r>
      <w:r w:rsidR="00B7653F">
        <w:rPr>
          <w:rFonts w:asciiTheme="majorHAnsi" w:hAnsiTheme="majorHAnsi" w:cs="Arial"/>
          <w:sz w:val="24"/>
          <w:szCs w:val="24"/>
        </w:rPr>
        <w:t xml:space="preserve">down </w:t>
      </w:r>
      <w:r>
        <w:rPr>
          <w:rFonts w:asciiTheme="majorHAnsi" w:hAnsiTheme="majorHAnsi" w:cs="Arial"/>
          <w:sz w:val="24"/>
          <w:szCs w:val="24"/>
        </w:rPr>
        <w:t>the line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L</w:t>
      </w:r>
      <w:r w:rsidR="001D778E" w:rsidRPr="00C222CB">
        <w:rPr>
          <w:rFonts w:asciiTheme="majorHAnsi" w:hAnsiTheme="majorHAnsi" w:cs="Arial"/>
          <w:sz w:val="24"/>
          <w:szCs w:val="24"/>
        </w:rPr>
        <w:t xml:space="preserve">ocal authorities </w:t>
      </w:r>
      <w:r>
        <w:rPr>
          <w:rFonts w:asciiTheme="majorHAnsi" w:hAnsiTheme="majorHAnsi" w:cs="Arial"/>
          <w:sz w:val="24"/>
          <w:szCs w:val="24"/>
        </w:rPr>
        <w:t xml:space="preserve">must have a genuine duty </w:t>
      </w:r>
      <w:r w:rsidR="001D778E" w:rsidRPr="00C222CB">
        <w:rPr>
          <w:rFonts w:asciiTheme="majorHAnsi" w:hAnsiTheme="majorHAnsi" w:cs="Arial"/>
          <w:sz w:val="24"/>
          <w:szCs w:val="24"/>
        </w:rPr>
        <w:t>to provide universa</w:t>
      </w:r>
      <w:r w:rsidR="0015561A">
        <w:rPr>
          <w:rFonts w:asciiTheme="majorHAnsi" w:hAnsiTheme="majorHAnsi" w:cs="Arial"/>
          <w:sz w:val="24"/>
          <w:szCs w:val="24"/>
        </w:rPr>
        <w:t xml:space="preserve">l, open access youth services, </w:t>
      </w:r>
      <w:r w:rsidR="001D778E" w:rsidRPr="00C222CB">
        <w:rPr>
          <w:rFonts w:asciiTheme="majorHAnsi" w:hAnsiTheme="majorHAnsi" w:cs="Arial"/>
          <w:sz w:val="24"/>
          <w:szCs w:val="24"/>
        </w:rPr>
        <w:t>backed up by the necessary resources.</w:t>
      </w:r>
    </w:p>
    <w:p w14:paraId="324851B8" w14:textId="77777777" w:rsidR="0015561A" w:rsidRDefault="0015561A" w:rsidP="0015561A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1B73CEBF" w14:textId="77777777" w:rsidR="00F92663" w:rsidRPr="0015561A" w:rsidRDefault="0015561A" w:rsidP="00F92663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Listen to y</w:t>
      </w:r>
      <w:r w:rsidR="00F92663" w:rsidRPr="0015561A">
        <w:rPr>
          <w:rFonts w:asciiTheme="majorHAnsi" w:hAnsiTheme="majorHAnsi" w:cs="Arial"/>
          <w:b/>
          <w:sz w:val="24"/>
          <w:szCs w:val="24"/>
        </w:rPr>
        <w:t xml:space="preserve">oung people and staff </w:t>
      </w:r>
      <w:r w:rsidR="00B7653F">
        <w:rPr>
          <w:rFonts w:asciiTheme="majorHAnsi" w:hAnsiTheme="majorHAnsi" w:cs="Arial"/>
          <w:sz w:val="24"/>
          <w:szCs w:val="24"/>
        </w:rPr>
        <w:br/>
        <w:t>It’</w:t>
      </w:r>
      <w:r>
        <w:rPr>
          <w:rFonts w:asciiTheme="majorHAnsi" w:hAnsiTheme="majorHAnsi" w:cs="Arial"/>
          <w:sz w:val="24"/>
          <w:szCs w:val="24"/>
        </w:rPr>
        <w:t xml:space="preserve">s vital </w:t>
      </w:r>
      <w:r w:rsidR="00F92663" w:rsidRPr="00C222CB">
        <w:rPr>
          <w:rFonts w:asciiTheme="majorHAnsi" w:hAnsiTheme="majorHAnsi" w:cs="Arial"/>
          <w:sz w:val="24"/>
          <w:szCs w:val="24"/>
        </w:rPr>
        <w:t>young people are involved</w:t>
      </w:r>
      <w:r>
        <w:rPr>
          <w:rFonts w:asciiTheme="majorHAnsi" w:hAnsiTheme="majorHAnsi" w:cs="Arial"/>
          <w:sz w:val="24"/>
          <w:szCs w:val="24"/>
        </w:rPr>
        <w:t xml:space="preserve"> in and consulted o</w:t>
      </w:r>
      <w:r w:rsidR="00F92663" w:rsidRPr="00C222CB">
        <w:rPr>
          <w:rFonts w:asciiTheme="majorHAnsi" w:hAnsiTheme="majorHAnsi" w:cs="Arial"/>
          <w:sz w:val="24"/>
          <w:szCs w:val="24"/>
        </w:rPr>
        <w:t xml:space="preserve">n decisions affecting the services </w:t>
      </w:r>
      <w:r>
        <w:rPr>
          <w:rFonts w:asciiTheme="majorHAnsi" w:hAnsiTheme="majorHAnsi" w:cs="Arial"/>
          <w:sz w:val="24"/>
          <w:szCs w:val="24"/>
        </w:rPr>
        <w:t>they receive</w:t>
      </w:r>
      <w:r w:rsidR="00C66971">
        <w:rPr>
          <w:rFonts w:asciiTheme="majorHAnsi" w:hAnsiTheme="majorHAnsi" w:cs="Arial"/>
          <w:sz w:val="24"/>
          <w:szCs w:val="24"/>
        </w:rPr>
        <w:t xml:space="preserve"> in order for them to be successful</w:t>
      </w:r>
      <w:r>
        <w:rPr>
          <w:rFonts w:asciiTheme="majorHAnsi" w:hAnsiTheme="majorHAnsi" w:cs="Arial"/>
          <w:sz w:val="24"/>
          <w:szCs w:val="24"/>
        </w:rPr>
        <w:t>. L</w:t>
      </w:r>
      <w:r w:rsidR="00F92663" w:rsidRPr="00C222CB">
        <w:rPr>
          <w:rFonts w:asciiTheme="majorHAnsi" w:hAnsiTheme="majorHAnsi" w:cs="Arial"/>
          <w:sz w:val="24"/>
          <w:szCs w:val="24"/>
        </w:rPr>
        <w:t xml:space="preserve">ocal authorities should trust their trained, experienced youth workers to provide in-house solutions. Youth services </w:t>
      </w:r>
      <w:r w:rsidRPr="00C222CB">
        <w:rPr>
          <w:rFonts w:asciiTheme="majorHAnsi" w:hAnsiTheme="majorHAnsi" w:cs="Arial"/>
          <w:sz w:val="24"/>
          <w:szCs w:val="24"/>
        </w:rPr>
        <w:t>should be directly provided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F92663" w:rsidRPr="00C222CB">
        <w:rPr>
          <w:rFonts w:asciiTheme="majorHAnsi" w:hAnsiTheme="majorHAnsi" w:cs="Arial"/>
          <w:sz w:val="24"/>
          <w:szCs w:val="24"/>
        </w:rPr>
        <w:t>not privatised or outsourced.</w:t>
      </w:r>
    </w:p>
    <w:sectPr w:rsidR="00F92663" w:rsidRPr="0015561A" w:rsidSect="004A2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1A3"/>
    <w:multiLevelType w:val="hybridMultilevel"/>
    <w:tmpl w:val="3BBA9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CA4"/>
    <w:multiLevelType w:val="hybridMultilevel"/>
    <w:tmpl w:val="063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E8"/>
    <w:rsid w:val="00000B9D"/>
    <w:rsid w:val="0000297D"/>
    <w:rsid w:val="00003C0F"/>
    <w:rsid w:val="00005B51"/>
    <w:rsid w:val="00012A51"/>
    <w:rsid w:val="0001320A"/>
    <w:rsid w:val="0001459C"/>
    <w:rsid w:val="00026C05"/>
    <w:rsid w:val="0003096C"/>
    <w:rsid w:val="000321FB"/>
    <w:rsid w:val="000327E0"/>
    <w:rsid w:val="000365B3"/>
    <w:rsid w:val="00042759"/>
    <w:rsid w:val="00043CE8"/>
    <w:rsid w:val="00050869"/>
    <w:rsid w:val="00051312"/>
    <w:rsid w:val="00053FDD"/>
    <w:rsid w:val="00056B91"/>
    <w:rsid w:val="00062539"/>
    <w:rsid w:val="00070E81"/>
    <w:rsid w:val="000719B4"/>
    <w:rsid w:val="0008104B"/>
    <w:rsid w:val="00082371"/>
    <w:rsid w:val="000851DB"/>
    <w:rsid w:val="0008656E"/>
    <w:rsid w:val="000906A3"/>
    <w:rsid w:val="00097C4E"/>
    <w:rsid w:val="000A7B2E"/>
    <w:rsid w:val="000B03F8"/>
    <w:rsid w:val="000B2E5C"/>
    <w:rsid w:val="000B58CF"/>
    <w:rsid w:val="000B6344"/>
    <w:rsid w:val="000B7508"/>
    <w:rsid w:val="000C26A5"/>
    <w:rsid w:val="000D21F9"/>
    <w:rsid w:val="000D23A6"/>
    <w:rsid w:val="000D4ED7"/>
    <w:rsid w:val="000E224C"/>
    <w:rsid w:val="000E62DC"/>
    <w:rsid w:val="000F65CA"/>
    <w:rsid w:val="000F7481"/>
    <w:rsid w:val="00103218"/>
    <w:rsid w:val="00103C5C"/>
    <w:rsid w:val="001040E8"/>
    <w:rsid w:val="001042C5"/>
    <w:rsid w:val="00104480"/>
    <w:rsid w:val="00104536"/>
    <w:rsid w:val="0010732B"/>
    <w:rsid w:val="00111D2C"/>
    <w:rsid w:val="0011408C"/>
    <w:rsid w:val="00116C11"/>
    <w:rsid w:val="00117706"/>
    <w:rsid w:val="0013446A"/>
    <w:rsid w:val="001444E0"/>
    <w:rsid w:val="0015561A"/>
    <w:rsid w:val="00155E76"/>
    <w:rsid w:val="0017583B"/>
    <w:rsid w:val="001817F9"/>
    <w:rsid w:val="001877E5"/>
    <w:rsid w:val="001922C5"/>
    <w:rsid w:val="00194719"/>
    <w:rsid w:val="001A27CB"/>
    <w:rsid w:val="001B1164"/>
    <w:rsid w:val="001B20A7"/>
    <w:rsid w:val="001B5155"/>
    <w:rsid w:val="001C2FB8"/>
    <w:rsid w:val="001D778E"/>
    <w:rsid w:val="001E077B"/>
    <w:rsid w:val="001E1283"/>
    <w:rsid w:val="001E354F"/>
    <w:rsid w:val="001E4509"/>
    <w:rsid w:val="001F1A8D"/>
    <w:rsid w:val="001F6F0C"/>
    <w:rsid w:val="001F73F3"/>
    <w:rsid w:val="00213CBD"/>
    <w:rsid w:val="0021448A"/>
    <w:rsid w:val="0022163A"/>
    <w:rsid w:val="002334D3"/>
    <w:rsid w:val="00237BA8"/>
    <w:rsid w:val="00237DE1"/>
    <w:rsid w:val="002449C7"/>
    <w:rsid w:val="00257FDF"/>
    <w:rsid w:val="002634CD"/>
    <w:rsid w:val="002674B9"/>
    <w:rsid w:val="00275432"/>
    <w:rsid w:val="00283622"/>
    <w:rsid w:val="002879AD"/>
    <w:rsid w:val="002916F3"/>
    <w:rsid w:val="00293D87"/>
    <w:rsid w:val="0029718B"/>
    <w:rsid w:val="002A2209"/>
    <w:rsid w:val="002A3FE2"/>
    <w:rsid w:val="002B0E4E"/>
    <w:rsid w:val="002B71BF"/>
    <w:rsid w:val="002C094B"/>
    <w:rsid w:val="002C3A6A"/>
    <w:rsid w:val="002C7BCE"/>
    <w:rsid w:val="002E1CDB"/>
    <w:rsid w:val="002E4952"/>
    <w:rsid w:val="002E590E"/>
    <w:rsid w:val="002F5920"/>
    <w:rsid w:val="00306105"/>
    <w:rsid w:val="003131C3"/>
    <w:rsid w:val="0031768A"/>
    <w:rsid w:val="00322DA2"/>
    <w:rsid w:val="0032505B"/>
    <w:rsid w:val="0033229D"/>
    <w:rsid w:val="003406BE"/>
    <w:rsid w:val="00341A20"/>
    <w:rsid w:val="003667E6"/>
    <w:rsid w:val="00366D18"/>
    <w:rsid w:val="00373537"/>
    <w:rsid w:val="00374E62"/>
    <w:rsid w:val="00375EEB"/>
    <w:rsid w:val="003813A0"/>
    <w:rsid w:val="0038686C"/>
    <w:rsid w:val="003B68A0"/>
    <w:rsid w:val="003C0AA5"/>
    <w:rsid w:val="003C0CDE"/>
    <w:rsid w:val="003C3858"/>
    <w:rsid w:val="003D201B"/>
    <w:rsid w:val="003D6BB9"/>
    <w:rsid w:val="003E127C"/>
    <w:rsid w:val="003E47F9"/>
    <w:rsid w:val="003F38DF"/>
    <w:rsid w:val="00402A6E"/>
    <w:rsid w:val="0040714D"/>
    <w:rsid w:val="00412A7B"/>
    <w:rsid w:val="004149C5"/>
    <w:rsid w:val="00415517"/>
    <w:rsid w:val="00420786"/>
    <w:rsid w:val="00425D25"/>
    <w:rsid w:val="00433E32"/>
    <w:rsid w:val="00454849"/>
    <w:rsid w:val="00461B2C"/>
    <w:rsid w:val="00466C19"/>
    <w:rsid w:val="0047140B"/>
    <w:rsid w:val="00471629"/>
    <w:rsid w:val="00471C39"/>
    <w:rsid w:val="00472EBF"/>
    <w:rsid w:val="00475C71"/>
    <w:rsid w:val="00480F6A"/>
    <w:rsid w:val="00481847"/>
    <w:rsid w:val="004845B1"/>
    <w:rsid w:val="00485A66"/>
    <w:rsid w:val="00486D7C"/>
    <w:rsid w:val="00490583"/>
    <w:rsid w:val="004916F1"/>
    <w:rsid w:val="004941FC"/>
    <w:rsid w:val="00495171"/>
    <w:rsid w:val="004A2F15"/>
    <w:rsid w:val="004A395A"/>
    <w:rsid w:val="004B4E41"/>
    <w:rsid w:val="004B6C15"/>
    <w:rsid w:val="004B6D90"/>
    <w:rsid w:val="004D068A"/>
    <w:rsid w:val="004D421E"/>
    <w:rsid w:val="004D4292"/>
    <w:rsid w:val="004E65DC"/>
    <w:rsid w:val="004E6E89"/>
    <w:rsid w:val="004E73E1"/>
    <w:rsid w:val="00501AF0"/>
    <w:rsid w:val="005032D6"/>
    <w:rsid w:val="005037BC"/>
    <w:rsid w:val="005076CA"/>
    <w:rsid w:val="00510997"/>
    <w:rsid w:val="005147CE"/>
    <w:rsid w:val="0051677B"/>
    <w:rsid w:val="005331F7"/>
    <w:rsid w:val="00536C2D"/>
    <w:rsid w:val="00542C51"/>
    <w:rsid w:val="005453F7"/>
    <w:rsid w:val="005472AB"/>
    <w:rsid w:val="00555186"/>
    <w:rsid w:val="005574E3"/>
    <w:rsid w:val="00560D09"/>
    <w:rsid w:val="005614C0"/>
    <w:rsid w:val="005636F0"/>
    <w:rsid w:val="00567778"/>
    <w:rsid w:val="00570FF1"/>
    <w:rsid w:val="0057463C"/>
    <w:rsid w:val="005800B3"/>
    <w:rsid w:val="00583A05"/>
    <w:rsid w:val="005A6C1C"/>
    <w:rsid w:val="005B3329"/>
    <w:rsid w:val="005B417D"/>
    <w:rsid w:val="005B7854"/>
    <w:rsid w:val="005C2D94"/>
    <w:rsid w:val="005C6B67"/>
    <w:rsid w:val="005C6FDC"/>
    <w:rsid w:val="005D245E"/>
    <w:rsid w:val="005D7428"/>
    <w:rsid w:val="005E2188"/>
    <w:rsid w:val="005F275C"/>
    <w:rsid w:val="005F2BB8"/>
    <w:rsid w:val="005F2FAB"/>
    <w:rsid w:val="006023EE"/>
    <w:rsid w:val="00611B0F"/>
    <w:rsid w:val="006123EE"/>
    <w:rsid w:val="00612E65"/>
    <w:rsid w:val="006156C6"/>
    <w:rsid w:val="00632330"/>
    <w:rsid w:val="00637403"/>
    <w:rsid w:val="00644CDB"/>
    <w:rsid w:val="00644D77"/>
    <w:rsid w:val="00645E39"/>
    <w:rsid w:val="00645F98"/>
    <w:rsid w:val="00650902"/>
    <w:rsid w:val="00660E55"/>
    <w:rsid w:val="0066718C"/>
    <w:rsid w:val="00682408"/>
    <w:rsid w:val="00686CF3"/>
    <w:rsid w:val="006A14AC"/>
    <w:rsid w:val="006A71D1"/>
    <w:rsid w:val="006B1180"/>
    <w:rsid w:val="006B244C"/>
    <w:rsid w:val="006B6E70"/>
    <w:rsid w:val="006B705E"/>
    <w:rsid w:val="006B712E"/>
    <w:rsid w:val="006C1972"/>
    <w:rsid w:val="006D05A1"/>
    <w:rsid w:val="006D1081"/>
    <w:rsid w:val="006E0C24"/>
    <w:rsid w:val="006E2388"/>
    <w:rsid w:val="006E2F1C"/>
    <w:rsid w:val="006E4B7C"/>
    <w:rsid w:val="006E6A95"/>
    <w:rsid w:val="006F2FD6"/>
    <w:rsid w:val="006F7ABB"/>
    <w:rsid w:val="00701106"/>
    <w:rsid w:val="00702417"/>
    <w:rsid w:val="00704909"/>
    <w:rsid w:val="00715FDE"/>
    <w:rsid w:val="0072592C"/>
    <w:rsid w:val="007300C7"/>
    <w:rsid w:val="00731AD9"/>
    <w:rsid w:val="00734D71"/>
    <w:rsid w:val="007366B0"/>
    <w:rsid w:val="007376DC"/>
    <w:rsid w:val="007504A5"/>
    <w:rsid w:val="00751F48"/>
    <w:rsid w:val="0075253E"/>
    <w:rsid w:val="00755626"/>
    <w:rsid w:val="00767731"/>
    <w:rsid w:val="0077265D"/>
    <w:rsid w:val="00777014"/>
    <w:rsid w:val="00777335"/>
    <w:rsid w:val="00777489"/>
    <w:rsid w:val="0078301D"/>
    <w:rsid w:val="00793466"/>
    <w:rsid w:val="007938E7"/>
    <w:rsid w:val="007959CD"/>
    <w:rsid w:val="007A2DB6"/>
    <w:rsid w:val="007A47D5"/>
    <w:rsid w:val="007A5A0A"/>
    <w:rsid w:val="007C21A5"/>
    <w:rsid w:val="007C22C3"/>
    <w:rsid w:val="007D166F"/>
    <w:rsid w:val="007D25C9"/>
    <w:rsid w:val="007D461D"/>
    <w:rsid w:val="007D519A"/>
    <w:rsid w:val="007D7CBE"/>
    <w:rsid w:val="007E2462"/>
    <w:rsid w:val="007E2CC6"/>
    <w:rsid w:val="007F59B5"/>
    <w:rsid w:val="007F611F"/>
    <w:rsid w:val="0080060E"/>
    <w:rsid w:val="0080342B"/>
    <w:rsid w:val="0080351A"/>
    <w:rsid w:val="00804B8C"/>
    <w:rsid w:val="0080528A"/>
    <w:rsid w:val="0080701C"/>
    <w:rsid w:val="00807900"/>
    <w:rsid w:val="00813026"/>
    <w:rsid w:val="00815BE3"/>
    <w:rsid w:val="00816A1A"/>
    <w:rsid w:val="0083346E"/>
    <w:rsid w:val="00836FC3"/>
    <w:rsid w:val="008377D3"/>
    <w:rsid w:val="00837F93"/>
    <w:rsid w:val="00841E92"/>
    <w:rsid w:val="00847472"/>
    <w:rsid w:val="00863DFA"/>
    <w:rsid w:val="00865607"/>
    <w:rsid w:val="00871500"/>
    <w:rsid w:val="00876CC6"/>
    <w:rsid w:val="0088434C"/>
    <w:rsid w:val="00890AF1"/>
    <w:rsid w:val="00893751"/>
    <w:rsid w:val="008957C9"/>
    <w:rsid w:val="008A1653"/>
    <w:rsid w:val="008A72FB"/>
    <w:rsid w:val="008B0CE0"/>
    <w:rsid w:val="008B7434"/>
    <w:rsid w:val="008C0C22"/>
    <w:rsid w:val="008C2713"/>
    <w:rsid w:val="008C7323"/>
    <w:rsid w:val="008D0CBB"/>
    <w:rsid w:val="008E01DC"/>
    <w:rsid w:val="008E3DD2"/>
    <w:rsid w:val="008E41DD"/>
    <w:rsid w:val="008E4D94"/>
    <w:rsid w:val="00901A69"/>
    <w:rsid w:val="00902570"/>
    <w:rsid w:val="00902C44"/>
    <w:rsid w:val="00903C63"/>
    <w:rsid w:val="00906A53"/>
    <w:rsid w:val="00907726"/>
    <w:rsid w:val="00921A4F"/>
    <w:rsid w:val="009236A4"/>
    <w:rsid w:val="0092450F"/>
    <w:rsid w:val="00925F53"/>
    <w:rsid w:val="0092662D"/>
    <w:rsid w:val="00930369"/>
    <w:rsid w:val="00930D61"/>
    <w:rsid w:val="0095320F"/>
    <w:rsid w:val="0095588C"/>
    <w:rsid w:val="00964289"/>
    <w:rsid w:val="00972735"/>
    <w:rsid w:val="00976117"/>
    <w:rsid w:val="0099025F"/>
    <w:rsid w:val="009930DC"/>
    <w:rsid w:val="00993751"/>
    <w:rsid w:val="009A17CF"/>
    <w:rsid w:val="009A3382"/>
    <w:rsid w:val="009A4DB2"/>
    <w:rsid w:val="009A68A0"/>
    <w:rsid w:val="009B515D"/>
    <w:rsid w:val="009C17A7"/>
    <w:rsid w:val="009C1C09"/>
    <w:rsid w:val="009D54DE"/>
    <w:rsid w:val="009D5AD7"/>
    <w:rsid w:val="009D75EB"/>
    <w:rsid w:val="009E4D2F"/>
    <w:rsid w:val="009E53A3"/>
    <w:rsid w:val="009E7693"/>
    <w:rsid w:val="00A00282"/>
    <w:rsid w:val="00A034D9"/>
    <w:rsid w:val="00A049CD"/>
    <w:rsid w:val="00A056E3"/>
    <w:rsid w:val="00A110C4"/>
    <w:rsid w:val="00A16259"/>
    <w:rsid w:val="00A16D11"/>
    <w:rsid w:val="00A179F6"/>
    <w:rsid w:val="00A2483F"/>
    <w:rsid w:val="00A26965"/>
    <w:rsid w:val="00A311E8"/>
    <w:rsid w:val="00A33CE1"/>
    <w:rsid w:val="00A3699C"/>
    <w:rsid w:val="00A46B1B"/>
    <w:rsid w:val="00A46C08"/>
    <w:rsid w:val="00A47954"/>
    <w:rsid w:val="00A530F3"/>
    <w:rsid w:val="00A54227"/>
    <w:rsid w:val="00A632EF"/>
    <w:rsid w:val="00A65CED"/>
    <w:rsid w:val="00A65EC9"/>
    <w:rsid w:val="00A661DA"/>
    <w:rsid w:val="00A7320A"/>
    <w:rsid w:val="00A77DE0"/>
    <w:rsid w:val="00A80F79"/>
    <w:rsid w:val="00A8392F"/>
    <w:rsid w:val="00A85A1A"/>
    <w:rsid w:val="00A9234F"/>
    <w:rsid w:val="00A96955"/>
    <w:rsid w:val="00AA4C1A"/>
    <w:rsid w:val="00AC2251"/>
    <w:rsid w:val="00AC2450"/>
    <w:rsid w:val="00AC7865"/>
    <w:rsid w:val="00AD0A28"/>
    <w:rsid w:val="00AD4B0E"/>
    <w:rsid w:val="00AE3004"/>
    <w:rsid w:val="00AE3B4E"/>
    <w:rsid w:val="00AE654F"/>
    <w:rsid w:val="00AF26F5"/>
    <w:rsid w:val="00AF41B7"/>
    <w:rsid w:val="00B013F6"/>
    <w:rsid w:val="00B14208"/>
    <w:rsid w:val="00B226E3"/>
    <w:rsid w:val="00B32565"/>
    <w:rsid w:val="00B368E8"/>
    <w:rsid w:val="00B40A75"/>
    <w:rsid w:val="00B43E30"/>
    <w:rsid w:val="00B47A6D"/>
    <w:rsid w:val="00B530B4"/>
    <w:rsid w:val="00B54EE1"/>
    <w:rsid w:val="00B60C7B"/>
    <w:rsid w:val="00B659FC"/>
    <w:rsid w:val="00B73DE3"/>
    <w:rsid w:val="00B74FC5"/>
    <w:rsid w:val="00B7653F"/>
    <w:rsid w:val="00B773BF"/>
    <w:rsid w:val="00B948FF"/>
    <w:rsid w:val="00B9795F"/>
    <w:rsid w:val="00BB1E22"/>
    <w:rsid w:val="00BB7D6D"/>
    <w:rsid w:val="00BC0DEE"/>
    <w:rsid w:val="00BC4F4E"/>
    <w:rsid w:val="00BD12C3"/>
    <w:rsid w:val="00BD20C8"/>
    <w:rsid w:val="00BD36F0"/>
    <w:rsid w:val="00BD5411"/>
    <w:rsid w:val="00BD694D"/>
    <w:rsid w:val="00BE5C98"/>
    <w:rsid w:val="00BF3B0C"/>
    <w:rsid w:val="00BF59AE"/>
    <w:rsid w:val="00BF5E5D"/>
    <w:rsid w:val="00C177F4"/>
    <w:rsid w:val="00C217E1"/>
    <w:rsid w:val="00C222CB"/>
    <w:rsid w:val="00C4206E"/>
    <w:rsid w:val="00C42A1D"/>
    <w:rsid w:val="00C45D62"/>
    <w:rsid w:val="00C5105D"/>
    <w:rsid w:val="00C5260D"/>
    <w:rsid w:val="00C60728"/>
    <w:rsid w:val="00C62EF3"/>
    <w:rsid w:val="00C66971"/>
    <w:rsid w:val="00C77569"/>
    <w:rsid w:val="00C827E3"/>
    <w:rsid w:val="00C85835"/>
    <w:rsid w:val="00C8761D"/>
    <w:rsid w:val="00C91049"/>
    <w:rsid w:val="00CA6627"/>
    <w:rsid w:val="00CA73D6"/>
    <w:rsid w:val="00CB1D24"/>
    <w:rsid w:val="00CB51E1"/>
    <w:rsid w:val="00CB73AD"/>
    <w:rsid w:val="00CC126D"/>
    <w:rsid w:val="00CC44F0"/>
    <w:rsid w:val="00CC7B19"/>
    <w:rsid w:val="00CD005A"/>
    <w:rsid w:val="00CD048F"/>
    <w:rsid w:val="00CD40F5"/>
    <w:rsid w:val="00CD5809"/>
    <w:rsid w:val="00CD7F68"/>
    <w:rsid w:val="00CE194E"/>
    <w:rsid w:val="00CE4097"/>
    <w:rsid w:val="00CE416F"/>
    <w:rsid w:val="00CE7C27"/>
    <w:rsid w:val="00CF0B2D"/>
    <w:rsid w:val="00CF323D"/>
    <w:rsid w:val="00D144A8"/>
    <w:rsid w:val="00D15FFF"/>
    <w:rsid w:val="00D16BD0"/>
    <w:rsid w:val="00D21481"/>
    <w:rsid w:val="00D2443A"/>
    <w:rsid w:val="00D2725D"/>
    <w:rsid w:val="00D3433F"/>
    <w:rsid w:val="00D36205"/>
    <w:rsid w:val="00D440DC"/>
    <w:rsid w:val="00D45519"/>
    <w:rsid w:val="00D54C38"/>
    <w:rsid w:val="00D6277D"/>
    <w:rsid w:val="00D66E8E"/>
    <w:rsid w:val="00D734EB"/>
    <w:rsid w:val="00D838C3"/>
    <w:rsid w:val="00D86F54"/>
    <w:rsid w:val="00D87EEA"/>
    <w:rsid w:val="00D9513B"/>
    <w:rsid w:val="00DA03B6"/>
    <w:rsid w:val="00DA3F2D"/>
    <w:rsid w:val="00DB009C"/>
    <w:rsid w:val="00DB0B21"/>
    <w:rsid w:val="00DB3116"/>
    <w:rsid w:val="00DB3B77"/>
    <w:rsid w:val="00DB5D29"/>
    <w:rsid w:val="00DB602E"/>
    <w:rsid w:val="00DB73B6"/>
    <w:rsid w:val="00DB7877"/>
    <w:rsid w:val="00DC0E05"/>
    <w:rsid w:val="00DC581B"/>
    <w:rsid w:val="00DC5AB0"/>
    <w:rsid w:val="00DC730B"/>
    <w:rsid w:val="00DD52DD"/>
    <w:rsid w:val="00DD6A62"/>
    <w:rsid w:val="00DE2FBC"/>
    <w:rsid w:val="00DE5A4D"/>
    <w:rsid w:val="00DF02A3"/>
    <w:rsid w:val="00E01E67"/>
    <w:rsid w:val="00E02469"/>
    <w:rsid w:val="00E027A3"/>
    <w:rsid w:val="00E03CC5"/>
    <w:rsid w:val="00E073C2"/>
    <w:rsid w:val="00E1132E"/>
    <w:rsid w:val="00E1283B"/>
    <w:rsid w:val="00E13A32"/>
    <w:rsid w:val="00E16AA8"/>
    <w:rsid w:val="00E176D5"/>
    <w:rsid w:val="00E2247E"/>
    <w:rsid w:val="00E23B6D"/>
    <w:rsid w:val="00E25FDC"/>
    <w:rsid w:val="00E41A1A"/>
    <w:rsid w:val="00E4424B"/>
    <w:rsid w:val="00E506C0"/>
    <w:rsid w:val="00E6038B"/>
    <w:rsid w:val="00E63AE9"/>
    <w:rsid w:val="00E66312"/>
    <w:rsid w:val="00E67C0A"/>
    <w:rsid w:val="00E7167E"/>
    <w:rsid w:val="00E71C69"/>
    <w:rsid w:val="00E76606"/>
    <w:rsid w:val="00E76C39"/>
    <w:rsid w:val="00E82040"/>
    <w:rsid w:val="00E83877"/>
    <w:rsid w:val="00E9355F"/>
    <w:rsid w:val="00E96E87"/>
    <w:rsid w:val="00EA5FD1"/>
    <w:rsid w:val="00EB26F0"/>
    <w:rsid w:val="00EB2A24"/>
    <w:rsid w:val="00EB3B75"/>
    <w:rsid w:val="00EC147F"/>
    <w:rsid w:val="00EC388C"/>
    <w:rsid w:val="00EC55F7"/>
    <w:rsid w:val="00EC6D77"/>
    <w:rsid w:val="00ED2395"/>
    <w:rsid w:val="00EE1BD8"/>
    <w:rsid w:val="00EE2CA3"/>
    <w:rsid w:val="00F070B1"/>
    <w:rsid w:val="00F1188B"/>
    <w:rsid w:val="00F255BE"/>
    <w:rsid w:val="00F27F51"/>
    <w:rsid w:val="00F31BBF"/>
    <w:rsid w:val="00F324E4"/>
    <w:rsid w:val="00F436BC"/>
    <w:rsid w:val="00F45489"/>
    <w:rsid w:val="00F4639B"/>
    <w:rsid w:val="00F51A00"/>
    <w:rsid w:val="00F62C46"/>
    <w:rsid w:val="00F66C07"/>
    <w:rsid w:val="00F74D36"/>
    <w:rsid w:val="00F77913"/>
    <w:rsid w:val="00F81452"/>
    <w:rsid w:val="00F92663"/>
    <w:rsid w:val="00F92C1F"/>
    <w:rsid w:val="00F92DAB"/>
    <w:rsid w:val="00FA36A1"/>
    <w:rsid w:val="00FA390E"/>
    <w:rsid w:val="00FA6451"/>
    <w:rsid w:val="00FB1433"/>
    <w:rsid w:val="00FB3BDB"/>
    <w:rsid w:val="00FB5CD6"/>
    <w:rsid w:val="00FB5DA1"/>
    <w:rsid w:val="00FC1076"/>
    <w:rsid w:val="00FC343D"/>
    <w:rsid w:val="00FC6B64"/>
    <w:rsid w:val="00FC7294"/>
    <w:rsid w:val="00FD52E6"/>
    <w:rsid w:val="00FE4934"/>
    <w:rsid w:val="00FE64FD"/>
    <w:rsid w:val="00FF1421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9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77"/>
    <w:pPr>
      <w:ind w:left="720"/>
      <w:contextualSpacing/>
    </w:pPr>
  </w:style>
  <w:style w:type="table" w:styleId="TableGrid">
    <w:name w:val="Table Grid"/>
    <w:basedOn w:val="TableNormal"/>
    <w:uiPriority w:val="59"/>
    <w:rsid w:val="00E1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77"/>
    <w:pPr>
      <w:ind w:left="720"/>
      <w:contextualSpacing/>
    </w:pPr>
  </w:style>
  <w:style w:type="table" w:styleId="TableGrid">
    <w:name w:val="Table Grid"/>
    <w:basedOn w:val="TableNormal"/>
    <w:uiPriority w:val="59"/>
    <w:rsid w:val="00E1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1202DDCA743A9445A2D211B4614B2160" ma:contentTypeVersion="14" ma:contentTypeDescription="Create a new Word Document" ma:contentTypeScope="" ma:versionID="ab1a77b92af119a292f5248e4a0c320b">
  <xsd:schema xmlns:xsd="http://www.w3.org/2001/XMLSchema" xmlns:p="http://schemas.microsoft.com/office/2006/metadata/properties" xmlns:ns2="6e86cc80-d06d-4e8f-b8eb-114dcfb506da" xmlns:ns3="d48be540-1a8a-41ff-a16b-62f02273eac9" targetNamespace="http://schemas.microsoft.com/office/2006/metadata/properties" ma:root="true" ma:fieldsID="defb19e504ea4edc9e6701058ed44259" ns2:_="" ns3:_="">
    <xsd:import namespace="6e86cc80-d06d-4e8f-b8eb-114dcfb506da"/>
    <xsd:import namespace="d48be540-1a8a-41ff-a16b-62f02273ea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Local_x0020_Government_x0020_Categories" minOccurs="0"/>
                <xsd:element ref="ns3:Y_x0020_and_x0020_C_x0020_subcategories" minOccurs="0"/>
                <xsd:element ref="ns2:Std_x0020_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Local_x0020_Government_x0020_Categories" ma:index="18" nillable="true" ma:displayName="Local Government Categories" ma:list="{b8fd61d3-180b-4048-94d5-3286f5d76558}" ma:internalName="Local_x0020_Government_x0020_Categories" ma:readOnly="false" ma:showField="Title" ma:web="6e86cc80-d06d-4e8f-b8eb-114dcfb506da">
      <xsd:simpleType>
        <xsd:restriction base="dms:Lookup"/>
      </xsd:simpleType>
    </xsd:element>
    <xsd:element name="Std_x0020_Doc_x0020_Type" ma:index="20" nillable="true" ma:displayName="Std Doc Type" ma:list="{ec40c6dc-087e-4430-bfdf-a4105c98eb1b}" ma:internalName="Std_x0020_Doc_x0020_Type" ma:readOnly="false" ma:showField="Title" ma:web="6e86cc80-d06d-4e8f-b8eb-114dcfb506d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d48be540-1a8a-41ff-a16b-62f02273eac9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_x0020_and_x0020_C_x0020_subcategories" ma:index="19" nillable="true" ma:displayName="Y and C subcategories" ma:list="{7f524479-9cd1-4eb4-91d9-2f470c434c84}" ma:internalName="Y_x0020_and_x0020_C_x0020_subcategories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ed_x0020_Version xmlns="d48be540-1a8a-41ff-a16b-62f02273eac9" xsi:nil="true"/>
    <Submitter xmlns="6e86cc80-d06d-4e8f-b8eb-114dcfb506da" xsi:nil="true"/>
    <Local_x0020_Government_x0020_Categories xmlns="6e86cc80-d06d-4e8f-b8eb-114dcfb506da">6</Local_x0020_Government_x0020_Categories>
    <Approver xmlns="6e86cc80-d06d-4e8f-b8eb-114dcfb506da" xsi:nil="true"/>
    <UNISON_x0020_Source_x0020_URL xmlns="d48be540-1a8a-41ff-a16b-62f02273eac9">
      <Url xmlns="d48be540-1a8a-41ff-a16b-62f02273eac9" xsi:nil="true"/>
      <Description xmlns="d48be540-1a8a-41ff-a16b-62f02273eac9" xsi:nil="true"/>
    </UNISON_x0020_Source_x0020_URL>
    <Date_x0020_Submitted xmlns="d48be540-1a8a-41ff-a16b-62f02273eac9" xsi:nil="true"/>
    <UNISON_x0020_Target_x0020_URL xmlns="d48be540-1a8a-41ff-a16b-62f02273eac9">
      <Url xmlns="d48be540-1a8a-41ff-a16b-62f02273eac9" xsi:nil="true"/>
      <Description xmlns="d48be540-1a8a-41ff-a16b-62f02273eac9" xsi:nil="true"/>
    </UNISON_x0020_Target_x0020_URL>
    <Y_x0020_and_x0020_C_x0020_subcategories xmlns="d48be540-1a8a-41ff-a16b-62f02273eac9">6</Y_x0020_and_x0020_C_x0020_subcategories>
    <Date_x0020_Approved xmlns="d48be540-1a8a-41ff-a16b-62f02273eac9" xsi:nil="true"/>
    <Std_x0020_Doc_x0020_Type xmlns="6e86cc80-d06d-4e8f-b8eb-114dcfb506da">13</Std_x0020_Doc_x0020_Type>
  </documentManagement>
</p:properties>
</file>

<file path=customXml/itemProps1.xml><?xml version="1.0" encoding="utf-8"?>
<ds:datastoreItem xmlns:ds="http://schemas.openxmlformats.org/officeDocument/2006/customXml" ds:itemID="{AA43EAD3-EAC9-460A-A406-B47F1CE95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d48be540-1a8a-41ff-a16b-62f02273ea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D25941-0097-4064-BAFF-0B3F8DE04B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89D443-18B5-4718-A9A6-FCAE46B78F9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8EB3E67-69AC-4C2A-A120-98167E853B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12C919-8139-47CB-A5B0-07E451F0D53F}">
  <ds:schemaRefs>
    <ds:schemaRef ds:uri="http://schemas.microsoft.com/office/2006/metadata/properties"/>
    <ds:schemaRef ds:uri="d48be540-1a8a-41ff-a16b-62f02273eac9"/>
    <ds:schemaRef ds:uri="6e86cc80-d06d-4e8f-b8eb-114dcfb506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1151</Words>
  <Characters>6562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Short</dc:creator>
  <cp:lastModifiedBy>Anna  Mauremootoo</cp:lastModifiedBy>
  <cp:revision>5</cp:revision>
  <cp:lastPrinted>2018-11-26T11:36:00Z</cp:lastPrinted>
  <dcterms:created xsi:type="dcterms:W3CDTF">2018-11-28T09:53:00Z</dcterms:created>
  <dcterms:modified xsi:type="dcterms:W3CDTF">2018-11-29T12:04:00Z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0x0101000C8E16668653CB47B6E8E0CE928ABAD501001202DDCA743A9445A2D211B4614B2160</vt:lpwstr>
  </property>
</Properties>
</file>